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D-7223/2016 vom 5. Juli 2017</w:t>
      </w:r>
    </w:p>
    <w:p>
      <w:r>
        <w:t>Bundesverwaltungsgericht, 2017-07-05, DE</w:t>
      </w:r>
    </w:p>
    <w:p>
      <w:r>
        <w:rPr>
          <w:b/>
        </w:rPr>
        <w:t xml:space="preserve">Quelle: </w:t>
      </w:r>
      <w:r>
        <w:t>https://mcp.opencaselaw.ch/entscheid/bvger_D-7223_2016</w:t>
      </w:r>
    </w:p>
    <w:p>
      <w:r>
        <w:t>FR: TAF D-7223/2016 du 5 juillet 2017</w:t>
      </w:r>
    </w:p>
    <w:p>
      <w:r>
        <w:t>IT: TAF D-7223/2016 del 5 luglio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Aufgrund der insgesamt überzeugenden Schilderungen des Beschwerdeführers besteht durchaus Anlass zur Annahme, es seien 2014 zuerst sein Vater und ein Jahr später auch seine Mutter mit den heimatlichen Behörden in Konflikt geraten und deswegen verhaftet worden. Darüber hinaus ist allerdings - wie vom SEM zu Recht erkannt - nichts ersichtlich, was darauf schliessen liesse, vor seiner Ausreise wäre der Beschwerdeführer selbst vor Nachstellungen der heimatlichen Behörden aus einem asylrelevanten Grund - wegen seiner Rasse, Religion, Nationalität, Zugehörigkeit zu einer bestimmten sozialen Gruppe oder wegen seiner politischen Anschauungen - bedroht gewesen. Aufgrund seiner Schilderungen darf vielmehr davon ausgegangen werden, er hätte wie seine jüngeren Geschwister bei seinem Onkel in F._______ oder bei seiner Tante in E._______ unterkommen können, ohne dass vonseiten der heimatlichen Behörden irgend ein Interesse an seiner Person bestanden hätte. Da schliesslich auch vom Beschwerdeführer nichts anderes geltend gemacht wird, kann auf weitere Erwägungen zur fehlenden Asylrelevanz der Vorbringen über die Verhaftung der Eltern verzichtet werden.</w:t>
      </w:r>
    </w:p>
    <w:p>
      <w:r>
        <w:rPr>
          <w:b/>
        </w:rPr>
        <w:t>E. 3.2</w:t>
      </w:r>
    </w:p>
    <w:p>
      <w:r>
        <w:t>Der Ordnung halber ist sodann festzuhalten, dass auch den Vorbringen über im Sudan vonseiten der sogenannten Rashaida erlittene Nachteile keine Asylrelevanz zukommt. Da der Beschwerdeführer diesen Nachteilen erst nach seiner Ausreise und damit ausserhalb seiner Heimat ausgesetzt war, können diese von vornherein nicht der Verantwortlichkeit seiner heimatlichen Behörden zugerechnet werden und es kann den heimatlichen Behörden auch kein Vorhalt im Sinne einer mangelnden Schutzgewährung gemacht werden.</w:t>
      </w:r>
    </w:p>
    <w:p>
      <w:r>
        <w:rPr>
          <w:b/>
        </w:rPr>
        <w:t>E. 3.3.1</w:t>
      </w:r>
    </w:p>
    <w:p>
      <w:r>
        <w:t>Nach dem Gesagten bleibt im Folgenden zu prüfen, ob der Beschwerdeführer die Flüchtlingseigenschaft wegen der geltend gemachten illegalen Ausreise aus Eritrea erfüllt, worauf er sich zur Hauptsache beruft. Es ist mithin zu prüfen, ob er in seiner Heimat nur schon deswegen mit ernsthaften Nachteilen aus einem asylrelevanten Motiv zu rechnen hat, weil er Eritrea ohne Bewilligung der heimatlichen Behörden und damit im Sinne der eritreischen Gesetzgebung widerrechtlich verlassen hat.</w:t>
      </w:r>
    </w:p>
    <w:p>
      <w:r>
        <w:rPr>
          <w:b/>
        </w:rPr>
        <w:t>E. 3.3.2</w:t>
      </w:r>
    </w:p>
    <w:p>
      <w:r>
        <w:t>Im Referenzurteil D-7898/2015 vom 30. Januar 2017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D-7898/2015 vom 30. Januar 2017, E. 5.1).</w:t>
      </w:r>
    </w:p>
    <w:p>
      <w:r>
        <w:rPr>
          <w:b/>
        </w:rPr>
        <w:t>E. 3.3.3</w:t>
      </w:r>
    </w:p>
    <w:p>
      <w:r>
        <w:t>Das Vorliegen solcher zusätzlicher Faktoren ist zu verneinen, da der nach wie vor minderjährige Beschwerdeführer auch unter Berücksichtigung der geltend gemachten Probleme seiner Eltern kein Profil aufweist, welches - im Sinne eines Politmalus - auf ein besonderes Interesse der heimatlichen Behörden an seiner Person schliessen liesse. In diesem Zusammenhang bleibt der Ordnung halber anzumerken, dass er seine Heimat lange vor Erreichen des dienstpflichtigen Alters verlassen hat und aufgrund der Aktenlage nichts dafür spricht, vor der Ausreise hätten jemals Kontakte mit den heimatlichen Rekrutierungsbehörden stattgefunden. Er kann daher auch nicht als Refraktär oder als Deserteur gelten. Schliesslich sind auch keine anderen Anknüpfungspunkte ersichtlich, welche ihn in den Augen des eritreischen Regimes als missliebige Person erscheinen lassen könnten.</w:t>
      </w:r>
    </w:p>
    <w:p>
      <w:r>
        <w:rPr>
          <w:b/>
        </w:rPr>
        <w:t>E. 3.4</w:t>
      </w:r>
    </w:p>
    <w:p>
      <w:r>
        <w:t>Nach dem Gesagten ist es dem Beschwerdeführer nicht gelungen, die Flüchtlingseigenschaft (im Sinne Art. 3 Abs. 1 und 2 AsylG) nachzuweisen oder zumindest glaubhaft zu machen (gemäss Art. 7 AsylG), weshalb die angefochtene Verfügung zu bestätigen ist.</w:t>
      </w:r>
    </w:p>
    <w:p>
      <w:r>
        <w:rPr>
          <w:b/>
        </w:rPr>
        <w:t>E. 4.1</w:t>
      </w:r>
    </w:p>
    <w:p>
      <w:r>
        <w:t>Nach der Ablehnung des Asylgesuches hat das SEM zu Recht die Wegweisung aus der Schweiz verfügt (Art. 44 [erster Satz] AsylG; vgl. ferner BVGE 2013/37 E 4.4 und 2009/50 E. 9, je m.w.H.).</w:t>
      </w:r>
    </w:p>
    <w:p>
      <w:r>
        <w:rPr>
          <w:b/>
        </w:rPr>
        <w:t>E. 4.2</w:t>
      </w:r>
    </w:p>
    <w:p>
      <w:r>
        <w:t>Vorliegend hat das SEM anstelle des Wegweisungsvollzuges die vorläufige Aufnahme des Beschwerdeführers in der Schweiz angeordnet (Art. 44 [zweiter Satz] AsylG i.V.m. Art. 83 Abs. 1-4 AuG [SR 142.20]). Hierzu bleibt anzumerken,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6</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(im Sinne von Art. 65 Abs. 1 VwVG) ist jedoch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