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D-7217/2023 vom 18. November 2024</w:t>
      </w:r>
    </w:p>
    <w:p>
      <w:r>
        <w:t>Bundesverwaltungsgericht, 2024-11-18, DE</w:t>
      </w:r>
    </w:p>
    <w:p>
      <w:r>
        <w:rPr>
          <w:b/>
        </w:rPr>
        <w:t xml:space="preserve">Quelle: </w:t>
      </w:r>
      <w:r>
        <w:t>https://mcp.opencaselaw.ch/entscheid/bvger_D-7217_2023</w:t>
      </w:r>
    </w:p>
    <w:p>
      <w:r>
        <w:t>FR: TAF D-7217/2023 du 18 novembre 2024</w:t>
      </w:r>
    </w:p>
    <w:p>
      <w:r>
        <w:t>IT: TAF D-7217/2023 del 18 novembre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 Das Verfah- ren richtet sich nach dem VwVG, dem VGG und dem BGG, soweit das AsylG nichts anderes bestimmt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Art.108 Abs. 2 AsylG; Art. 48 Abs. 1 sowie Art. 52 Abs. 1 VwVG). Auf die Be- schwerde ist einzutreten.</w:t>
      </w:r>
    </w:p>
    <w:p>
      <w:r>
        <w:rPr>
          <w:b/>
        </w:rPr>
        <w:t>E. 2</w:t>
      </w:r>
    </w:p>
    <w:p>
      <w:r>
        <w:t>Die Kognition des Bundesverwaltungsgerichts und die zulässigen Rügen</w:t>
      </w:r>
    </w:p>
    <w:p>
      <w:r>
        <w:t>D-7217/2023 Seite 5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seiner Beschwerde macht der Beschwerdeführer geltend, er habe mit einem 15-jährigen verheirateten Mädchen einvernehmlichen Ge- schlechtsverkehr gehabt und werde von deren Familie sowie derjenigen des Ehemannes bedroht. Er habe Morddrohungen erhalten und seine Te- lefonnummer wechseln müssen. Zudem sei seine Familie im Irak und Sy- rien aufgesucht worden und habe den Wohnort wechseln sowie sich ver- stecken müssen. Er sei zu acht Monaten Freiheitsstrafe verurteilt worden und seines Dienstes bei den Peschmerga enthoben worden. Nach der Haftentlassung sei er erneut von den Familien aufgesucht worden.</w:t>
      </w:r>
    </w:p>
    <w:p>
      <w:r>
        <w:t>D-7217/2023 Seite 6</w:t>
      </w:r>
    </w:p>
    <w:p>
      <w:r>
        <w:rPr>
          <w:b/>
        </w:rPr>
        <w:t>E. 5.2</w:t>
      </w:r>
    </w:p>
    <w:p>
      <w:r>
        <w:t>In der Vernehmlassung macht das SEM im Wesentlichen geltend, der Beschwerdeführer sei mehrfach auf seine Mitwirkungs- und Wahrheits- pflicht hingewiesen worden. Es sei nicht nachvollziehbar, weshalb er seine wahren Asylgründe nicht habe darlegen können, zumal er von einer (männ- lichen) Rechtsvertretung begleitet worden sei. Er habe nie das Bedürfnis oder die Notwendigkeit geäussert, die Asylgründe vor einem gleichge- schlechtlichen Team zu äussern. Er sei während der Asylanhörung dreimal gefragt worden, ob er nun sämtliche Asylgründe habe darlegen können, was er denn auch bejaht habe. Eine unvollständige Sachverhaltsfeststel- lung könne dem SEM nicht vorgeworfen werden. Betreffend den geltend gemachten schlechten psychischen Gesundheitszustand fänden sich we- der in der Befragung noch im Dossier Hinweise darauf. Es sei auch nicht nachvollziehbar, inwiefern die Anwesenheit seines Cousins ihn an seiner wahrheitsgetreuen Schilderung seiner Asylgründe hätte hindern sollen. Be- züglich der eingereichten Beweismittel führt das SEM aus, diese seien al- lesamt in Kopie eingereicht worden und würden deshalb keinerlei Fäl- schungssicherheiten aufweisen Zudem würden die Beweismittel teilweise Fragen aufwerfen: So sei es nicht nachvollziehbar, weshalb das Urteil des Kassationshofes detaillierter ausgefallen sei, als dasjenige des Strafgerich- tes. Ersteres würde zudem Informationen enthalten, die nicht aus dem Ur- teil des Letzteren hervorgehen würden. Auf den Zeugenaussagenprotokol- len fände sich zudem ein Datum (03.03.2020) das nicht zuordenbar sei. Die Titel der jeweiligen Unterlagen seien teilweise auf Kurdisch, sämtliche Texte jedoch auf Arabisch verfasst, was befremdend anmute. Die geäus- serten Asylgründen seien als nachgeschoben zu taxieren, der Beschwer- deführer habe keine gezielte Verfolgung seiner Person glaubhaft machen können.</w:t>
      </w:r>
    </w:p>
    <w:p>
      <w:r>
        <w:rPr>
          <w:b/>
        </w:rPr>
        <w:t>E. 5.3</w:t>
      </w:r>
    </w:p>
    <w:p>
      <w:r>
        <w:t>In der Replik erwidert der Beschwerdeführer im Wesentlichen, die ein- gereichten Dokumente seien von den irakischen Behörden ausgestellt wor- den. Die Originale würden in der Regel im Dossier aufbewahrt werden und es würden nur Kopien herausgegeben. Es sei bekannt, dass im Irak zwei- sprachige Dokumente ausgestellt würden. Sowohl arabisch wie auch Kur- disch-Sorani seien zwei Amtssprachen im Irak. Durch eine persönliche An- hörung könne eruiert werden, ob der Beschwerdeführer die Wahrheit sage oder lüge.</w:t>
      </w:r>
    </w:p>
    <w:p>
      <w:r>
        <w:rPr>
          <w:b/>
        </w:rPr>
        <w:t>E. 6.1</w:t>
      </w:r>
    </w:p>
    <w:p>
      <w:r>
        <w:t>Der Beschwerdeführer bringt im Rahmen seiner Beschwerde vor dem Bundesverwaltungsgericht neue Verfolgungsgründe vor.</w:t>
      </w:r>
    </w:p>
    <w:p>
      <w:r>
        <w:t>D-7217/2023 Seite 7</w:t>
      </w:r>
    </w:p>
    <w:p>
      <w:r>
        <w:rPr>
          <w:b/>
        </w:rPr>
        <w:t>E. 6.2</w:t>
      </w:r>
    </w:p>
    <w:p>
      <w:r>
        <w:t>Im Beschwerdeverfahren vor dem Bundesverwaltungsgericht können im Rahmen des Streitgegenstandes Noven geltend gemacht werden; es können bisher nicht gewürdigte, bekannte wie auch bis anhin nicht be- kannte Sachverhaltsumstände und neue Beweismittel vorgebracht werden (MOSER et al., Prozessieren vor dem Bundesverwaltungsgericht, 3. Aufl. 2022, Rz. 2.204). Diesfalls ist durch die Beschwerdeinstanz zu untersu- chen, welcher Beweiswert den auf Beschwerdeebene geltend gemachten Vorbringen und dazu allenfalls eingereichten Dokumenten in Würdigung der gesamten Aktenlage zugemessen werden kann (vgl. etwa Urteil des BVGer D-2322/2009 vom 7. Juli 2009 E. 5.1).</w:t>
      </w:r>
    </w:p>
    <w:p>
      <w:r>
        <w:rPr>
          <w:b/>
        </w:rPr>
        <w:t>E. 7.1</w:t>
      </w:r>
    </w:p>
    <w:p>
      <w:r>
        <w:t>In Bezug auf die im erstinstanzlichen Verfahren geltend gemachten Verfolgungsgründe wird in der Beschwerde ausgeführt, der Beschwerde- führer habe «ganz andere Asylgründe» (Beschwerde, S. 2). Aus dieser Formulierung ist zu schliessen, dass er nicht weiter an den im Rahmen der Anhörung vor dem SEM geäusserten Gründe für sein Asylgesuch festhält, weshalb es sich an dieser Stelle erübrigt, weiter darauf einzugehen.</w:t>
      </w:r>
    </w:p>
    <w:p>
      <w:r>
        <w:rPr>
          <w:b/>
        </w:rPr>
        <w:t>E. 7.2</w:t>
      </w:r>
    </w:p>
    <w:p>
      <w:r>
        <w:t>Der Beschwerdeführer bringt im Wesentlichen neu vor, ihm drohten aufgrund Geschlechtsverkehrs mit einem verheirateten Mädchen Verfol- gungsmassnahmen von Seiten der Familie des Mädchens sowie dessen Ehemann (vgl. ausführlicher E. 4.1). Dieser Verfolgung liege ein asylrele- vantes Motiv zugrunde.</w:t>
      </w:r>
    </w:p>
    <w:p>
      <w:r>
        <w:rPr>
          <w:b/>
        </w:rPr>
        <w:t>E. 7.3</w:t>
      </w:r>
    </w:p>
    <w:p>
      <w:r>
        <w:t>Art. 1A des Abkommens vom 28. Juli 1951 über die Rechtsstellung der Flüchtlinge (FK, SR 0.142.30) und Art. 3 Abs. 1 AsylG nennen Rasse, Re- ligion, Nationalität, Zugehörigkeit zu einer bestimmten sozialen Gruppe oder politische Anschauung als flüchtlingsrechtlich relevante Motive. Die erwähnten fünf Verfolgungsmotive sind über ihre sprachlich allenfalls en- gere Bedeutung hinaus so zu verstehen, dass die Verfolgung wegen äusserer oder innerer Merkmale, die untrennbar mit der Person oder Per- sönlichkeit des Opfers verbunden sind, erfolgt. Verfolgung im Sinne der Flüchtlingskonvention und des Asylgesetzes erfolgt immer wegen des Seins, und nicht wegen des Tuns. Zwar kann der Verfolger gleichfalls oder sogar vordergründig hauptsächlich auf Handlungsweisen einer Person ab- zielen, bedeutsam für die Flüchtlingseigenschaft wird der Eingriff des Ver- folgers (oder der mangelnde Schutz vor privater Verfolgung bei Schutzun- willigkeit des Staates) aber nur, wenn dieser die hinter einer Handlungs- weise steckende Eigenart und Gesinnung der entsprechenden Person tref- fen will (vgl. BVGE 2014/28 E. 8.4.1 m.w.H.).</w:t>
      </w:r>
    </w:p>
    <w:p>
      <w:r>
        <w:t>D-7217/2023 Seite 8</w:t>
      </w:r>
    </w:p>
    <w:p>
      <w:r>
        <w:rPr>
          <w:b/>
        </w:rPr>
        <w:t>E. 7.4</w:t>
      </w:r>
    </w:p>
    <w:p>
      <w:r>
        <w:t>Den erwähnten Vergeltungsmassnahmen durch die Familie des Mäd- chens sowie dessen Ehemann liegt kein solches Motiv zugrunde. Der Be- schwerdeführer führte die aussereheliche Beziehung nicht wegen seiner politischen Überzeugung beziehungsweise weil er die gesellschaftlichen Konventionen ablehnte. Der Beschwerdeführer hat denn auch nie geltend gemacht, er habe durch den Geschlechtsverkehr mit dem Mädchen eine politische Äusserung abgeben wollen und sei deshalb verfolgt worden. Auch den Akten und der Beschwerdeschrift kann nicht entnommen wer- den, dass der Beschwerdeführer in irgendeiner Weise eine politische Über- zeugung hätte äussern wollen. Sein Vorbringen in der Beschwerdeschrift «Themen im Zusammenhang mit Ruf und Ehre sind sehr sensible und ge- fährliche Themen, die Leben kosten. aussereheliche [sic!] Beziehungen sind verboten und werden von Sitte und Religion nicht akzeptiert, insbe- sondere wenn sie mit einer verheirateten Frau bestehen» (Beschwerde- schrift S. 4) genügt nicht, um einen Zusammenhang mit einer flüchtlings- rechtlich relevanten Verfolgungsmotiv herzustellen. Der Grund für seine strafrechtliche Verurteilung lag in seiner ausserehelichen Beziehung mit ei- ner minderjährigen Frau und darin, dass die Gesellschaft, in der er lebt, solche Beziehungen nicht toleriert und der Staat diese Einstellung schützt. Die Ansichten und Werte, die dieser gesellschaftlichen (und staatlichen) Ansicht zu Grund liegen, mögen religiös begründet sein (oder zumindest so begründet werden). Daraus folgt aber lediglich die Aussage über die religiöse Überzeugung der im Irak für die Rechtsetzung zuständigen Staatsgewalt und allenfalls der (Mehrheit der) Gesellschaft, was noch nichts über eine eventuell involvierte religiöse Überzeugung des Be- schwerdeführers aussagt. Der Grund für die Verfolgung liegt folglich nicht in der Identität des Beschwerdeführers, sondern diese zielt lediglich auf sein Handeln ab, nämlich das Führen einer ausserehelichen Beziehung (vgl. in diesem Sinne Urteil des BVGer D-4550/2020 vom 27. Januar 2021 E. 5.3; BVGE 2014/28 E. 8.4.5 S. 466). Dies gilt insbesondere für die gel- tend gemachte private Verfolgung durch die Familie der minderjährigen Frau sowie der Familie des Ehemannes: Selbst wenn dem Beschwerde- führer eine solche Verfolgung drohen sollte, kann weder die Verfolgung sel- ber noch eine eventuelle Schutzunwilligkeit der Behörden als auf einem flüchtlingsrechtlich relevanten Verfolgungsmotiv beruhend betrachtet wer- den. Da es bereits an einem flüchtlingsrechtlichen Verfolgungsmotiv fehlt, erübrigen sich Ausführungen zur Glaubhaftigkeit seiner neuen Vorbringen und zum Beweiswert der auf Beschwerdeebene eingereichten Beweismit- tel.</w:t>
      </w:r>
    </w:p>
    <w:p>
      <w:r>
        <w:t>D-7217/2023 Seite 9</w:t>
      </w:r>
    </w:p>
    <w:p>
      <w:r>
        <w:rPr>
          <w:b/>
        </w:rPr>
        <w:t>E. 7.5</w:t>
      </w:r>
    </w:p>
    <w:p>
      <w:r>
        <w:t>Es besteht unter diesen Umständen darüber hinaus keine Veranlas- sung, die Sache für eine erneute Anhörung an die Vorinstanz zurückzuwei- sen. Der entsprechende Eventualantrag sowie der Beweisantrag zu einer Botschaftsabklärung sind dementsprechend abzuweisen.</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9.1</w:t>
      </w:r>
    </w:p>
    <w:p>
      <w:r>
        <w:t>Aus den vorstehenden Erwägungen ergibt sich, dass die Rechtsbegeh- ren schon bei Einreichung der Beschwerde als aussichtslos zu bezeichnen waren, weshalb das Gesuch um Gewährung der unentgeltlichen Prozess- führung abzuweisen ist. Das Gesuch um Verzicht auf die Erhebung eines Kostenvorschusses ist mit dem vorliegenden Entscheid gegenstandslos geworden.</w:t>
      </w:r>
    </w:p>
    <w:p>
      <w:r>
        <w:rPr>
          <w:b/>
        </w:rPr>
        <w:t>E. 9.2</w:t>
      </w:r>
    </w:p>
    <w:p>
      <w:r>
        <w:t>Bei diesem Ausgang des Verfahrens sind die Kosten von Fr. 750.– dem Beschwerdeführer aufzuerlegen (Art. 1–3 des Reglements vom 21. Feb- ruar 2008 über die Kosten und Entschädigungen vor dem Bundesverwal- tungsgericht [VGKE, SR 173.320.2]).</w:t>
      </w:r>
    </w:p>
    <w:p>
      <w:r>
        <w:t>(Dispositiv nächste Seite)</w:t>
      </w:r>
    </w:p>
    <w:p>
      <w:r>
        <w:t>D-7217/2023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