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D-7214/2014 vom 16. Februar 2015</w:t>
      </w:r>
    </w:p>
    <w:p>
      <w:r>
        <w:t>Bundesverwaltungsgericht, 2015-02-16, DE</w:t>
      </w:r>
    </w:p>
    <w:p>
      <w:r>
        <w:rPr>
          <w:b/>
        </w:rPr>
        <w:t xml:space="preserve">Quelle: </w:t>
      </w:r>
      <w:r>
        <w:t>https://mcp.opencaselaw.ch/entscheid/bvger_D-7214_2014</w:t>
      </w:r>
    </w:p>
    <w:p>
      <w:r>
        <w:t>FR: TAF D-7214/2014 du 16 février 2015</w:t>
      </w:r>
    </w:p>
    <w:p>
      <w:r>
        <w:t>IT: TAF D-7214/2014 del 16 febbraio 2015</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 Soweit den Wegweisungsvollzug betreffend, kann zudem die Unangemessenheit gerügt werden (Art. 37 VGG i.V.m. Art. 49 VwVG; vgl. Urteil des BVGer D-3622/2011 vom 8. Oktober 2014 E. 5, zur Publikation vorgesehen).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die seitens des Beschwerdeführers geltend gemach­ten Vorbringen vermöchten den Anforderungen an die Glaubhaftigkeit ge­mäss Art. 7 AsylG nicht standzuhalten. Der Lingua-Spezialist sei in seinem Bericht vom 25. September 2014 zum Schluss gekommen, die Wahrscheinlichkeit, dass er (der Beschwerdeführer) im von ihm erwähnten geografischen Raum gelebt habe, sei klein. Zur Begründung werde im Gutachten unter anderem festgehalten, er sei der chinesischen Sprache überhaupt nicht mächtig. Aufgrund des obligatorischen Einschulungsalters vor Ort sei seine Behauptung, wegen des Todes des Vaters keine Schule besucht zu haben, widerlegt. Das Gutachten offenbare auch seine Lücken hinsichtlich des schulischen Alltags und der schulischen Infrastruktur in tibetischen Dörfern. Ferner habe er unzutreffende Angaben zur Entlöhnung, zu verwendeten Materialien und zur Finanzierung im Häuserbau sowie zur Installation von privaten Festnetztelefonen gemacht. Dass - wie von ihm geltend gemacht - heutzutage kein Mitglied einer tibetischen Familie im Besitz eines Mobiltelefons sei, müsse als undenkbar bezeichnet werden. Anlässlich des bei der Anhörung gewährten rechtlichen Gehörs sei es ihm nicht gelungen, die Feststellungen und die zusammenfassende Einschätzung des Experten zu entkräften. Zudem habe er sowohl bei der Befragung wie auch der Anhörung falsche Angaben zu den Verwaltungseinheiten der behaupteten Herkunftsregion, unglaubhafte Aussagen zu seiner angeblich fehlenden Schulbildung und zur Umgebung seines angeblichen Herkunftsdorfes gemacht. Demzufolge habe er aller Wahrscheinlichkeit nach nicht im von ihm geltend gemachten geografischen Raum gelebt, wodurch seinen Ausreise- beziehungsweise Asylgründen die Basis entzogen sei. Diese Einschätzung werde durch Unglaubhaftigkeitselemente in der Schilderung der Asylgründe bestätigt. Nach dem Gesagten sei davon auszugehen, dass der Beschwerdeführer vor der Ankunft in der Schweiz nicht in der Volksrepublik China, sondern in der exiltibeti­schen Diaspora gelebt habe. Da er aber keine konkreten und glaubhaf­ten Hinweise auf einen längeren Aufenthalt in einem Drittstaat geliefert habe, bestünden keine flüchtlings- oder wegweisungsbeachtlichen Gründe gegen eine Rückkehr an den bisherigen Aufenthaltsort (BVGE E-2981/2012 E. 5.8 bis 5.10). Den Vollzug der Wegweisung - mit Ausnahme in die Volksrepublik China - erachtete das BFM für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w:t>
      </w:r>
    </w:p>
    <w:p>
      <w:r>
        <w:rPr>
          <w:b/>
        </w:rPr>
        <w:t>E. 4.2</w:t>
      </w:r>
    </w:p>
    <w:p>
      <w:r>
        <w:t>Der Beschwerdeführer macht demgegenüber geltend, dass er bis auf die Provinz alle Verwaltungseinheiten korrekt benannt habe. Wie bereits dargelegt sei er nie zur Schule gegangen und in einem traditionellen tibetischen Milieu aufgewachsen. Dies erkläre seine fehlenden Kenntnisse der chinesischen Sprache. Im Übrigen seien in seinem Dorf im damaligen Zeitpunkt nicht alle Betroffenen zur Schule gegangen. Als er noch im Schulalter gewesen sei, habe die Schulpflicht noch gar nicht bestanden. Bei der vorinstanzlichen Unterstellung, er habe falsche Angaben zur Entlöhnung gemacht, müsse berücksichtigt werden, dass das Lohnniveau variabel sei. Die von ihm ausgeübten Tätigkeiten im Baugewerbe seien im Übrigen nicht von staatlichen, sondern privaten Stellen in Auftrag gegeben worden. Die erwähnten Materialien beim Häuserbau entsprächen der gängigen Praxis vor Ort. Im Weiteren legte er dar, lediglich die chinesische Staatsbürgerschaft zu besitzen, was vom Gericht berücksichtigt werden müsse. Die Flucht aus Tibet sei für ihn ein traumatisches Erlebnis gewesen. Entgegen der vorinstanzlichen Sichtweise habe er die Mitwirkungspflicht nicht verletzt. Er könne seine Familie nur unter der Gefahr, dass sie deshalb des Separatismus verdächtigt werde, kontaktieren. Nach dem Gesag­ten sei seine Flüchtlingseigenschaft fest­zustellen und im Sinne der Praxis der (vormaligen) Beschwerdein­stanz Asyl oder zumin­dest die vorläufige Aufnahme - wegen der illegalen Ausreise aus Ti­bet - zu gewähren. Ein Vollzug der Wegweisung würde gegen die relevanten gesetzlichen Bestimmungen verstossen.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w:t>
      </w:r>
    </w:p>
    <w:p>
      <w:r>
        <w:rPr>
          <w:b/>
        </w:rPr>
        <w:t>E. 6.1</w:t>
      </w:r>
    </w:p>
    <w:p>
      <w:r>
        <w:t>Das BFM hat seine Erkenntnis der Unglaubhaftigkeit der Herkunftsangaben und mithin der Asylvorbringen des Beschwerdeführers insbesondere auf das Ergebnis des Lingua-Alltagswissenstests vom 25. September 2014 abgestützt. Dessen Verwertbarkeit ist vorab von Amtes wegen zu prüfen.</w:t>
      </w:r>
    </w:p>
    <w:p>
      <w:r>
        <w:rPr>
          <w:b/>
        </w:rPr>
        <w:t>E. 6.2</w:t>
      </w:r>
    </w:p>
    <w:p>
      <w:r>
        <w:t>Bei entscheidwesentlichen Zweifeln an der vorgetragenen Herkunft von Asylsuchenden hat das BFM bislang in der Regel eine von den Befragungen zur Person und zu den Asylgründen unabhängige Herkunftsanalyse (sog. Lingua-Analyse) durch einen amtsexternen, von der Fachstelle Lingua des BFM beauftragten und mit den entsprechenden Sprach- und Länderkenntnissen ausgestatteten Sachverständigen durchführen lassen, bei der neben den landeskundlich-kulturellen Kenntnissen üblicherweise auch die sprachlichen Fähigkeiten der asylsuchenden Person geprüft wurden. In jüngerer Zeit und auch im vorliegenden Asylverfahren hat die Fachstelle Lingua unter dem Titel "Evaluation des Alltagswissens" vergleichbare Analysen, ebenfalls erstellt durch amtsexterne Sachverständige, aber beschränkt auf landeskundlich-kulturelle Elemente (ohne linguistische Komponente), erstellt. Sowohl die Lingua-Analyse als auch der Alltagswissenstest haben zwar nicht den Stellenwert eines Sachverständigengutachtens, jedoch kommt ihnen erhöhter Beweiswert zu, wenn die gebotenen Anforderungen an die fachliche Qualifikation, Objektivität und Neutralität des Experten sowie die inhaltliche Schlüssigkeit und Nachvollziehbarkeit erfüllt sind (vgl. dazu BVGE 2014/12 E. 4.2.1, m.w.H.; BVGE E-6850/2013 vom 13. Januar 2015 E. 6.1).</w:t>
      </w:r>
    </w:p>
    <w:p>
      <w:r>
        <w:rPr>
          <w:b/>
        </w:rPr>
        <w:t>E. 6.3</w:t>
      </w:r>
    </w:p>
    <w:p>
      <w:r>
        <w:t>Die Qualifikation von (...) - der mit der Analyse betrauten Person - erscheint vorliegend nicht fraglich (vgl. A 21/1). Auch die Objektivität und Neutralität sind nicht zu bezweifeln. So werden im Bericht wiederholt zustimmende Aussagen des Beschwerdeführers zitiert. Gerade aber die Tatsache, dass er in der Lage war, gewisse Belange vor Ort richtig zu skizzieren, wirft Fragen zur inhaltlichen Schlüssigkeit des Berichts auf. Darin wird dem Beschwerdeführer unter anderem ferner vorgehalten, er spreche kein Chinesisch. Eine Studie kam indes zum Schluss, dass es in Tibet in den ländlichen und nomadischen Gemeinschaften kein chinesisches Sprachumfeld gebe. Und obwohl die offizielle Sprache in den ethnischen Minderheitsgebieten "Standard Chinesisch" sei, sei unter den westlichen Einheimischen Tibetisch oder Uighurisch oft die einzig gesprochene Sprache. Der Lingua-Experte erwog im Weiteren, die Kinder würden vor Ort bereits als Sieben- oder Achtjährige eingeschult. Dem kann aber entgegengehalten werden, dass es offenbar für viele Haushalte billiger ist oder war, Strafen wegen fehlender Einschulung der Kinder zu bezahlen und diese arbeiten zu lassen Angesichts dieser Erwägungen gilt es in Bezug auf die Chinesischkenntnisse und das Schulobligatorium von Tibetern Zurückhaltung zu üben (vgl. BVGE D-6294/2013 vom 23. Januar 2015 E 5.4.7 und die dort angegebenen Quellen). Nichtsdestotrotz erstaunt aber vorliegend, dass der Beschwerdeführer - bis auf ein paar wenige Worte - überhaupt kein Chinesisch spricht. Ferner offenbart das Gutachten - wie vom BFM zu Recht erwogen - Wissenslücken hinsichtlich des schulischen Alltags und der schulischen Infrastruktur in tibetischen Dörfern. Seine weiteren Angaben zur Entlöhnung vor Ort sind demgegenüber nicht als per se falsch zu werten, war er doch in der Lage, in diesem Bereich nachvollziehbare Differenzierungen zu machen. Hinzu kommen aber seine Aussagen zu verwendeten Materialien und zur Finanzierung im Häuserbau sowie insbesondere auch zur telefonischen Situation im angeblichen Herkunftsgebiet, welche in der Tat nicht das Bild einer angeblich erst vor kurzem aus Tibet ausgereisten Person vermitteln. Dass - wie von ihm geltend gemacht - heutzutage eine tibetische Familie über kein einziges Mobiltelefon verfügt, erscheint ausgesprochen realitätsfremd. Weder im Rahmen des bei der Anhörung gewährten rechtlichen Gehörs noch in der Beschwerdeschrift gelang es ihm, die oben erwähnten Feststellungen und die zusammenfassende Einschätzung des Experten argumentativ zu entkräften.</w:t>
      </w:r>
    </w:p>
    <w:p>
      <w:r>
        <w:rPr>
          <w:b/>
        </w:rPr>
        <w:t>E. 6.4</w:t>
      </w:r>
    </w:p>
    <w:p>
      <w:r>
        <w:t>Nach dem Gesagten erscheint der Bericht vom 25. September 2014 als grundsätzlich verwertbar, zumal der Beschwerdeführer im Rahmen des rechtlichen Gehörs mit seinen aus der Sicht des Experten vom Ist-Zustand abweichenden Aussagen konfrontiert wurde. Dabei ist praxisgemäss eine Offenlegung der richtigen Antworten zu konkret gestellten Fragen des Alltagswissens nicht erforderlich (vgl. BVGE E-6850/2013 vom 13. Januar 2015 E. 6.1). Allerdings ist anzumerken, dass das BFM den Alltagswissenstest zwar als wichtige Stütze für die Entscheidfindung herangezogen und ihn auch als Hauptargument in der Begründung seiner Herkunftszweifel verwendet hat. Objektiv betrachtet kommt aber den weiteren Unglaubhaftigkeitsaspekten betreffend Herkunft, Staatsangehörigkeit, Reiseumstände und Verfolgungsvorbringen hohes Gewicht zu. Die Auswertung des Alltagswissenstests ist keineswegs der zentrale Dreh- und Angelpunkt der Entscheidfindung, mit dem die flüchtlings- und wegweisungsrechtliche Beurteilung steht oder fällt. Vielmehr handelt es sich um einen Argumentationsstrang unter mehreren gleichwertigen (a.a.O. E. 6.1).</w:t>
      </w:r>
    </w:p>
    <w:p>
      <w:r>
        <w:rPr>
          <w:b/>
        </w:rPr>
        <w:t>E. 7.1</w:t>
      </w:r>
    </w:p>
    <w:p>
      <w:r>
        <w:t>Nach dem Gesagten kann zwar nicht ausgeschlossen werden, dass der Beschwerdeführer gewisse Bezüge zu der von ihm angegebenen Herkunftsregion hat bezie­hungs­weise Verwandte dort leben. So war er denn wie erwähnt ansatzweise in der Lage, zu geografischen und anderen Belangen vor Ort gewisse, wenn auch teilweise ungereimte Angaben zu machen. Ob diese Kenntnisse von einem tatsächlichen, lang zurückliegenden dortigen Aufenthalt stammen oder ob sie auf anderweitig bezogenen Informationen beruhen, kann letztlich offen gelassen werden. Dass er das genannte Gebiet erst im Jahr 2014 und aus den vorgebrachten Gründen ver­liess, kann ihm nämlich nicht geglaubt werden. Diesbezüglich kann zum einen auf die obenstehenden Erwägungen im Rahmen der Würdigung des genannten Gutachtens verwiesen werden. Das BFM erwähnt aber im Entscheid zu Recht auch die offensichtlich unglaubhaften Aussagen zur Papierlosigkeit und führt - wenn auch in pauschaler Weise - Unglaubhaftigkeitselemente in der Schilderung der Asylgründe an. Diese Schilderung ist in der Tat ausgesprochen stereotyp ausgefallen und entbehrt jeglicher Realkennzeichen. Im Zusammenhang mit der Verfolgung beziehungsweise der Verfolgungsmotivation der Behörden äussert er zum Teil blosse Vermutungen. Nicht nachvollzogen werden kann insbesondere auch die Plötzlichkeit der Flucht, gab er doch an, sich vor diesem Abend in keiner Weise politisch betätigt zu haben (A 24/13 Antworten 57 ff.). Schliesslich antwortete er auf den (Eventual-)Vorhalt zu Beginn der Anhörung, zwar ethnischer Tibeter zu sein, aber nicht in Tibet gelebt zu haben, er sei in Tibet geboren. Dass er dort auch in der Folge bis 2014 gelebt habe, gab er erst im Rahmen des rechtlichen Gehörs zur Lingua-Analyse zu Protokoll. Dies ist ein weiteres Indiz für die Unglaubhaftigkeit der angeblichen Ausreise erst im Jahr 2014. Substanzielle Beschwerdeargumente, welche eine andere als die vom BFM getroffene Einschätzung rechtfertigen würden, fehlen.</w:t>
      </w:r>
    </w:p>
    <w:p>
      <w:r>
        <w:rPr>
          <w:b/>
        </w:rPr>
        <w:t>E. 7.2</w:t>
      </w:r>
    </w:p>
    <w:p>
      <w:r>
        <w:t>Zusammenfassend ist festzuhalten, dass der Beschwerdeführer zwar tibetischer Ethnie ist, seine Vorbringen hinsicht­lich des Ortes der haupt­sächlichen Sozialisation, der illegalen Aus­reise aus Tibet und seiner Asylvorbringen aber insgesamt der Glaubhaftigkeit entbehren. Folglich ist es ihm mangels glaubhafter Hinweise nicht gelungen, für den Zeitpunkt seiner Ausreise eine individuelle asylrechtlich relevante Verfolgung, die er in seiner Heimat vor der Ausreise erlitten habe oder in begründeter Weise zu­künftig habe befürchten müssen, nachzuweisen oder glaubhaft zu ma­chen.</w:t>
      </w:r>
    </w:p>
    <w:p>
      <w:r>
        <w:rPr>
          <w:b/>
        </w:rPr>
        <w:t>E. 8.1</w:t>
      </w:r>
    </w:p>
    <w:p>
      <w:r>
        <w:t>In EMARK 2005 Nr. 1 wurde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w:t>
      </w:r>
    </w:p>
    <w:p>
      <w:r>
        <w:rPr>
          <w:b/>
        </w:rPr>
        <w:t>E. 8.2</w:t>
      </w:r>
    </w:p>
    <w:p>
      <w:r>
        <w:t>In BVGE 2014/12 wurden die dem obenerwähnten EMARK-Entscheid zugrundeliegenden länderspezifi­schen Begebenheiten überprüft respek­tive aktualisiert und die erwähnte Rechtsprechung präzisiert. Nach ausführli­chen Abhandlungen über die Situ­ation der Exil-Tibeterinnen und -Ti­beter in Nepal (E. 5.6) und Indien (E. 5.7) - insbesondere in Bezug auf den Erwerb der jeweiligen Staatsange­hörigkeit und die Möglichkeiten ei­nes legalen Aufenthalts - wurde zu­sammenfassend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habe und nach wie vor die chi­nesische Staatsangehörigkeit besässe. Für asylsuchende Personen tibetischer Ethnie, welche unglaubhafte Anga­ben über ihren angeblichen Sozialisierungsraum in China machen, be­stehen gemäss BVGE 2014/12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(BVGE 2014/12 E. 5.8).</w:t>
      </w:r>
    </w:p>
    <w:p>
      <w:r>
        <w:rPr>
          <w:b/>
        </w:rPr>
        <w:t>E. 8.3</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8.4</w:t>
      </w:r>
    </w:p>
    <w:p>
      <w:r>
        <w:t>Die Rechtsprechung des Bundesverwaltungsgerichts, wie sie im bis da­hin Gültigkeit beanspruchenden Entscheid in EMARK 2005 Nr. 1 E. 4.3 publiziert wurde, ist in BVGE 2014/12 wie folgt präzisiert worden: bei Perso­nen ti­betischer Ethnie, die ihre wahre Herkunft verschleiern oder ver­heimli­chen, ist vermutungsweise davon auszugehen, dass keine flücht­lings- oder wegweisungsbeachtlichen Gründe gegen eine Rückkehr an ihren bishe­rigen Aufenthaltsort bestehen (E. 5.10).</w:t>
      </w:r>
    </w:p>
    <w:p>
      <w:r>
        <w:rPr>
          <w:b/>
        </w:rPr>
        <w:t>E. 9</w:t>
      </w:r>
    </w:p>
    <w:p>
      <w:r>
        <w:t>Vorliegend hat der Beschwerdeführer, welcher unbestrittenermassen tibeti­scher Ethnie ist, unglaubhafte Angaben zu seiner Sozialisierung und zu seinen bisherigen Aufenthaltsorten vor der Einreise in die Schweiz ge­macht. Aufgrund dieser unglaubhaften Angaben kann seitens der Asylbehörden nicht eruiert werden, welche der in E. 8.2 genannten Fallkon­stellationen auf ihn zutrifft. Dadurch hat er entgegen den Beschwerdevorbringen die ihm obliegende Mitwir­kungspflicht verletzt. Die Abklärungspflicht der Asylbehörden findet - wie bereits festgehalten - ihre Grenze an der Mitwirkungspflicht der asylsuchenden Person. Vorlie­gend verunmöglicht der Beschwerdeführer durch die Verletzung seiner Mit­wirkungspflicht die Abklärung, welchen effektiven Status er in Nepal re­spektive in Indien innehat, beziehungsweise die Prüfung, welche Staatsan­gehörigkeit er besitzt. Durch dieses Verhalten verunmöglicht er eine Prüfung der Drittstaatenregelung im Sinne von Art. 31a Abs. 1 Bst. c AsylG beziehungsweise eine Prüfung seiner allfälli­gen Flüchtlingseigen­schaft in Bezug auf Nepal oder Indien.</w:t>
      </w:r>
    </w:p>
    <w:p>
      <w:r>
        <w:rPr>
          <w:b/>
        </w:rPr>
        <w:t>E. 10</w:t>
      </w:r>
    </w:p>
    <w:p>
      <w:r>
        <w:t>Zusammenfassend ist festzuhalten, dass der Beschwerdeführer weder die Flüchtlingseigenschaft im Zeitpunkt seiner Ausreise noch subjektive Nach­fluchtgründe nachzuweisen oder zumindest glaubhaft zu machen ver­mag. Die Vorinstanz hat demnach zu Recht die Flüchtlingseigenschaft verneint und das Asylgesuch abgelehnt.</w:t>
      </w:r>
    </w:p>
    <w:p>
      <w:r>
        <w:rPr>
          <w:b/>
        </w:rPr>
        <w:t>E. 11</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12.2</w:t>
      </w:r>
    </w:p>
    <w:p>
      <w:r>
        <w:t>Zulässigkeit, Zumutbarkeit und Möglichkeit eines Wegweisungsvoll­zugs sind zwar von Amtes wegen zu prüfen, aber die Untersuchungs­pflicht findet wie erwähnt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w:t>
      </w:r>
    </w:p>
    <w:p>
      <w:r>
        <w:rPr>
          <w:b/>
        </w:rPr>
        <w:t>E. 12.3</w:t>
      </w:r>
    </w:p>
    <w:p>
      <w:r>
        <w:t>Da der Beschwerdeführer unbestrittenermassen tibetischer Ethnie ist und dadurch auch die Möglichkeit nicht auszuschliessen ist, dass er die chinesische Staatsangehörigkeit besitzt, ist vorliegend der Wegwei­sungsvollzug nach China im Sinne von Art. 45 Abs. 1 Bst. d AsylG auszu­schliessen.</w:t>
      </w:r>
    </w:p>
    <w:p>
      <w:r>
        <w:rPr>
          <w:b/>
        </w:rPr>
        <w:t>E. 13</w:t>
      </w:r>
    </w:p>
    <w:p>
      <w:r>
        <w:t>Aus diesen Erwägungen ergibt sich, dass die angefochtene Verfügung Bun­desrecht nicht verletzt, den rechtserheblichen Sachverhalt richtig und vollständig feststellt sowie angemessen ist (Art. 106 Abs. 1 AsylG bzw. Art. 49 VwVG). Die Be­schwerde ist abzuweisen.</w:t>
      </w:r>
    </w:p>
    <w:p>
      <w:r>
        <w:rPr>
          <w:b/>
        </w:rPr>
        <w:t>E. 14</w:t>
      </w:r>
    </w:p>
    <w:p>
      <w:r>
        <w:t>Bei diesem Ausgang des Verfahrens wären die Kosten dem Beschwerde­füh­rer aufzuerlegen (Art. 63 Abs. 1 VwVG). Da aber das Gesuch um Ge­wäh­rung der unentgeltlichen Prozessführung im Sinne von Art. 65 Abs. 1 VwVG mit Zwischenverfügung vom 17. Dezember 2014 gutgeheissen wurde und sich seine finanzielle Situation seither nicht entscheidrelevant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