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D-7209/2018 vom 27. Februar 2019</w:t>
      </w:r>
    </w:p>
    <w:p>
      <w:r>
        <w:t>Bundesverwaltungsgericht, 2019-02-27, DE</w:t>
      </w:r>
    </w:p>
    <w:p>
      <w:r>
        <w:rPr>
          <w:b/>
        </w:rPr>
        <w:t xml:space="preserve">Quelle: </w:t>
      </w:r>
      <w:r>
        <w:t>https://mcp.opencaselaw.ch/entscheid/bvger_D-7209_2018</w:t>
      </w:r>
    </w:p>
    <w:p>
      <w:r>
        <w:t>FR: TAF D-7209/2018 du 27 février 2019</w:t>
      </w:r>
    </w:p>
    <w:p>
      <w:r>
        <w:t>IT: TAF D-7209/2018 del 27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Auf den mit der Beschwerdeschrift gestellten Antrag auf Bestätigung der zufälligen Zusammensetzung des Spruchkörpers ist nicht einzutreten (vgl. 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wird beantragt, es sei dem Rechtsvertreter die Zusammensetzung des Spruchkörpers im vorliegenden Verfahren bekanntzugeben. Die beteiligten Gerichtspersonen werden dem Rechtsvertreter mit vorliegendem Urteil bekannt.</w:t>
      </w:r>
    </w:p>
    <w:p>
      <w:r>
        <w:rPr>
          <w:b/>
        </w:rPr>
        <w:t>E. 5</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2011/37 E. 5.4.1 m.w.H.).</w:t>
      </w:r>
    </w:p>
    <w:p>
      <w:r>
        <w:rPr>
          <w:b/>
        </w:rPr>
        <w:t>E. 5.3</w:t>
      </w:r>
    </w:p>
    <w:p>
      <w:r>
        <w:t>Der Beschwerdeführer rügt, das rechtliche Gehör sei deshalb verletzt worden, weil das SEM die Rückübersetzung des Protokolls der Anhörung ohne Begründung 15 Tage nach der Anhörung durchgeführt habe. Die Rückübersetzung könne nur bei objektiven Gründen zu einem späteren Datum durchgeführt werden, die Begründung sei im Protokoll zu vermerken und die Rückübersetzung innert weniger Tage nachzuholen (vgl. Urteil des BVGer vom 28. Dezember 2016 D-5173/2014). Indem das SEM es unterlassen habe, die Anhörung zu wiederholen, verletze es zudem die Begründungspflicht.</w:t>
      </w:r>
    </w:p>
    <w:p>
      <w:r>
        <w:rPr>
          <w:b/>
        </w:rPr>
        <w:t>E. 5.3.1</w:t>
      </w:r>
    </w:p>
    <w:p>
      <w:r>
        <w:t>Vorliegend wurde im Protokoll selber nicht festgehalten, warum die Rückübersetzung später stattfinden werde (vgl. Urteil D-5173/2014 E. 4.3.6.2). In einer internen Aktennotiz, welche dem Beschwerdeführer jedoch nicht eröffnet wurde, hielt das SEM zwar fest, dass die Rückübersetzung der Anhörung, welche bis 18.00 Uhr gedauert habe, aufgrund des Wohnsitzes des Beschwerdeführers im (...) verschoben wurde und dass die Beteiligten davon Kenntnis genommen hätten. Die Rückübersetzung wurde somit aus organisatorischen Gründen verschoben. Dem Rechtsvertreter des Beschwerdeführers konnte die Begründung hierfür aber lediglich aus den Ausführungen der Hilfswerkvertretung ersichtlich werden. Eine Verschiebung der Rückübersetzung um zwei Wochen scheint dem Gericht überdies als stark verzögert. Bei einer verspäteten Rückübersetzung kann der Sinn und Zweck der Protokollierung der Anhörung nur gewahrt werden, wenn diese innerhalb von wenigen Tagen stattfindet, also nicht völlig aus dem zeitlichen und inhaltlichen Kontext mit der Anhörung gerissen wird (vgl. Urteil D-5173/2014 E. 4.3.7 und 4.3.9). Im Weiteren ist dem Beschwerdeführer Recht zu geben, wenn er ausführt, dass das SEM diese zeitliche Verzögerung zwischen Anhörung und deren Rückübersetzung bei der Glaubhaftigkeitsprüfung in keiner Weise erwähnt hat und somit nicht davon auszugehen ist, dass es diese dort berücksichtigt hat (vgl. Urteil D-5173/2014 E. 4.3.6.1).</w:t>
      </w:r>
    </w:p>
    <w:p>
      <w:r>
        <w:rPr>
          <w:b/>
        </w:rPr>
        <w:t>E. 5.3.2</w:t>
      </w:r>
    </w:p>
    <w:p>
      <w:r>
        <w:t>Insbesondere fällt aber in diesem Zusammenhang auf, dass der Sachverhalt anlässlich der Rückübersetzung stark ergänzt beziehungsweise die Vorbringen durch den Beschwerdeführer in relevanter Weise verändert wurden. Dies wurde im Protokoll mit einer ganzen A4-Seite handschriftlicher Notizen eingefügt. Vor diesem Hintergrund wäre das SEM gehalten gewesen, den Beschwerdeführer erneut zu befragen. Derartige Veränderungen des Sachverhalts auf der Ebene der Rückübersetzung, welche zudem stark verzögert nach der Anhörung stattgefunden hat, handschriftlich im Protokoll einzufügen, entspricht nicht einer richtigen und vollständigen Feststellung des Sachverhaltes.</w:t>
      </w:r>
    </w:p>
    <w:p>
      <w:r>
        <w:rPr>
          <w:b/>
        </w:rPr>
        <w:t>E. 5.4</w:t>
      </w:r>
    </w:p>
    <w:p>
      <w:r>
        <w:t>Der Beschwerdeführer monierte weiter, das SEM habe den Anspruch auf das rechtliche Gehört verletzt, indem in der angefochtenen Verfügung lediglich das Kürzel "Fte" nicht aber die Namen der Personen aufgeführt seien, welche den Entscheid gefällt hätten. Es werde deshalb der Antrag gestellt, die Namen der Personen mitzuteilen, welche die Verfügung unterschrieben hätten. Zudem sei die Person mit dem Kürzel "Fte" weder an der Anhörung noch an der Befragung anwesend gewesen, weshalb sie über keinen persönlichen Eindruck des Beschwerdeführers verfüge, was sich negativ auf die Beurteilung der Glaubhaftigkeit auswirke. Aus Art. 29 Abs. 1 BV ergibt sich unter anderem, dass eine Person Anspruch auf eine rechtmässig zusammengesetzte, zuständige und unbefangene Behörde hat. Dieser Anspruch setzt auch die Bekanntgabe der personellen Zusammensetzung der Behörde voraus. Durch seine Praxis, die Namen der Personen, welche an den Verfügungen mitwirken, nicht offenzulegen, verletzt das SEM den Anspruch aus Art. 29 Abs. 1 BV (vgl. Teilurteil des BVGer D-1549/2017 vom 2. Mai 2018 E. 8.1 f. m.w.H. [zur Publikation vorgesehen]).</w:t>
      </w:r>
    </w:p>
    <w:p>
      <w:r>
        <w:rPr>
          <w:b/>
        </w:rPr>
        <w:t>E. 5.5</w:t>
      </w:r>
    </w:p>
    <w:p>
      <w:r>
        <w:t>Weiter rügte der Beschwerdeführer, das SEM habe die Begründungspflicht verletzt, indem es die Risikofaktoren bei einer Rückkehr nach Sri Lanka im Sinne des Referenzurteils E-1866/2015 vom 15. Juli 2016 vorliegend nicht abgeschätzt habe. Auf S. 5 der Verfügung habe der Sachbearbeiter bloss angegeben, dass er diese nicht erfülle, was einerseits falsch sei und andererseits nicht dem Prüfschema entspreche.</w:t>
      </w:r>
    </w:p>
    <w:p>
      <w:r>
        <w:rPr>
          <w:b/>
        </w:rPr>
        <w:t>E. 5.5.1</w:t>
      </w:r>
    </w:p>
    <w:p>
      <w:r>
        <w:t>Im Urteil E-1866/2015 hat das Bundesverwaltungsgericht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5.5.2</w:t>
      </w:r>
    </w:p>
    <w:p>
      <w:r>
        <w:t>In seiner Verfügung hat das SEM zwar bei der Prüfung der Zulässigkeit des Wegweisungsvollzugs im Zusammenhang mit einer Verletzung von Art. 3 EMRK festgehalten, dass bei einer Rückkehr des Beschwerdeführers nach Sri Lanka nicht mit einer konkreten Gefährdung im Sinne dieses Artikels zu rechnen sei. Eine Risikoeinschätzung gemäss der Rechtsprechung im Referenzurteil E-1866/2015 wurde in der angefochtenen Verfügung jedoch nicht durchgeführt. Im Sachverhalt wurde zwar erwähnt, dass der Beschwerdeführer angab, er habe Wachdienste für die LTTE ausgeführt, verfüge über zwei Verwandte, welche eine hohe Position bei den LTTE gehabt hätten und denen er auch gewisse Dienstleistungen erstattet hätte, und dass er im Jahre 2007 als Terrorverdächtiger in Haft genommen worden sei. Eine Würdigung dieser Sachverhaltselemente unter dem Gesichtspunkt des Risikoprofils im Sinne des erwähnten Referenzurteils hat das SEM aber gänzlich unterlassen. Vor diesem Hintergrund ist von einer schweren Verletzung der Begründungspflicht und somit des rechtlichen Gehörs auszugehen.</w:t>
      </w:r>
    </w:p>
    <w:p>
      <w:r>
        <w:rPr>
          <w:b/>
        </w:rPr>
        <w:t>E. 5.6</w:t>
      </w:r>
    </w:p>
    <w:p>
      <w:r>
        <w:t>Schliesslich gilt es festzuhalten, dass das SEM die durch den Beschwerdeführer eingereichten Beweismittel mit dem pauschalen Hinweis auf die Unglaubhaftigkeit seiner Vorbringen und auf die Tatsache, dass es sich vorwiegend um Fotokopien und Dokumente ohne Beweiswert handle, nicht richtig gewürdigt hat, womit es wiederum die Begründungspflicht verletzt hat.</w:t>
      </w:r>
    </w:p>
    <w:p>
      <w:r>
        <w:rPr>
          <w:b/>
        </w:rPr>
        <w:t>E. 6</w:t>
      </w:r>
    </w:p>
    <w:p>
      <w:r>
        <w:t>Gemäss Art. 61 Abs. 1 VwVG entscheidet das Bundesverwaltungsgericht in der Sache selbst oder weist diese ausnahmsweise mit verbindlichen Weisungen an die Vorinstanz zurück.</w:t>
      </w:r>
    </w:p>
    <w:p>
      <w:r>
        <w:rPr>
          <w:b/>
        </w:rPr>
        <w:t>E. 6.1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6.2</w:t>
      </w:r>
    </w:p>
    <w:p>
      <w:r>
        <w:t>Vorliegend ist eine Kassation an die Vorinstanz angezeigt. Nach dem Gesagten wurde einerseits der Sachverhalt nicht richtig und vollständig festgestellt und andererseits das rechtliche Gehör in schwerwiegender und wiederholter Weise verletzt.</w:t>
      </w:r>
    </w:p>
    <w:p>
      <w:r>
        <w:rPr>
          <w:b/>
        </w:rPr>
        <w:t>E. 7</w:t>
      </w:r>
    </w:p>
    <w:p>
      <w:r>
        <w:t>Nach dem Gesagten ist die Beschwerde gutzuheissen, soweit die Aufhebung der angefochtenen Verfügung beantragt wird. Die Verfügung vom 9. November 2018 ist aufzuheben und die Sache zur vollständigen Feststellung des Sachverhalts mittels einer erneuten Anhörung und anschliessenden Neubeurteilung - unter Würdigung aller entscheidwesentlichen Sachverhaltselemente und eingereichten Beweismittel - an die Vorinstanz zurückzuweisen. Angesichts des Verfahrensausgangs kann offen gelassen werden, ob die geltend gemachte Vorverfolgung als glaubhaft gemacht erscheint. Auf die weiteren Anträge in der Rechtsmitteleingabe ist nicht einzugehen.</w:t>
      </w:r>
    </w:p>
    <w:p>
      <w:r>
        <w:rPr>
          <w:b/>
        </w:rPr>
        <w:t>E. 8.1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i.V.m. Art. 3 des Reglements vom 11. Dezember 2006 über die Kosten und Entschädigungen vor dem Bundesverwaltungsgericht [VGKE, SR 173.320.2]; Urteil des BGer 2A.474/2002 vom 17. März 2003 E. 7.2). Der Rechtsvertreter des Beschwerdeführers stellte erneut ein Rechtsbegehren, über welches bereits mehrfach befunden worden ist (vorliegend Bestätigung der Zufälligkeit beziehungsweise der Offenlegung der objektiven Kriterien der Zusammensetzung des Spruchkörpers). Trotz der Gutheissung der Beschwerde ist es folglich gerechtfertigt, ihm androhungsgemäss (vgl. etwa Urteil des BVGer D-4191/2018 vom 8. August 2018 E. 13.2) die unnötig verursachten Kosten des Begehrens, über welches vorliegend befunden wurde, persönlich aufzuerlegen. Die diesbezüglichen Kosten sind auf Fr. 100.- festzusetzen (vgl. Art. 6 AsylG i.V.m. Art. 66 Abs. 3 BGG; u.a. Urteil des BGer 5D_56/2018 vom 18. Juli 2018 E. 6).</w:t>
      </w:r>
    </w:p>
    <w:p>
      <w:r>
        <w:rPr>
          <w:b/>
        </w:rPr>
        <w:t>E. 8.2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