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D-7201/2009 vom 14. April 2011</w:t>
      </w:r>
    </w:p>
    <w:p>
      <w:r>
        <w:t>Bundesverwaltungsgericht, 2011-04-14, FR</w:t>
      </w:r>
    </w:p>
    <w:p>
      <w:r>
        <w:rPr>
          <w:b/>
        </w:rPr>
        <w:t xml:space="preserve">Quelle: </w:t>
      </w:r>
      <w:r>
        <w:t>https://mcp.opencaselaw.ch/entscheid/bvger_D-7201_2009</w:t>
      </w:r>
    </w:p>
    <w:p>
      <w:r>
        <w:t>FR: TAF D-7201/2009 du 14 avril 2011</w:t>
      </w:r>
    </w:p>
    <w:p>
      <w:r>
        <w:t>IT: TAF D-7201/2009 del 14 aprile 2011</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(Arrêts du Tribunal administratif fédéral [ATAF] 2009/57 consid. 1.2 p. 798;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2</w:t>
      </w:r>
    </w:p>
    <w:p>
      <w:r>
        <w:t>L'intéressé a qualité pour recourir. Présenté dans la forme et le délai prescrits par la loi, le recours est recevable (art. 48 et 52 PA et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vertu de l'art. 51 al. 1 LAsi, le conjoint ou le partenaire enregistré d'un réfugié et leurs enfants mineurs sont reconnus comme réfugiés et obtiennent l'asile, pour autant qu'aucune circonstance particulière ne s'y oppose. Cette disposition ne trouve application qu'à la condition que les ayants droit ne remplissent pas les conditions nécessaires à la reconnaissance de la qualité de réfugié à titre originaire, au sens de l'art. 3 LAsi (ATAF 2007/19 p. 220 ss).</w:t>
      </w:r>
    </w:p>
    <w:p>
      <w:r>
        <w:rPr>
          <w:b/>
        </w:rPr>
        <w:t>E. 4.1</w:t>
      </w:r>
    </w:p>
    <w:p>
      <w:r>
        <w:t>Dans sa décision du 16 octobre 2009, l'ODM a considéré que A._______ ne pouvait pas se voir reconnaître la qualité de réfugié à titre originaire, ses déclarations relatives à sa prétendue nationalité n'étant pas vraisemblables, tout comme les motifs allégués à l'appui de sa demande d'asile. Par ailleurs, dit office a estimé que l'intéressé ne pouvait pas se voir reconnaître la qualité de réfugié à titre dérivé, en application du principe de l'unité de la famille, dès lors que sa nationalité érythréenne n'était pas établie et qu'il paraissait plus vraisemblable qu'il soit de nationalité éthiopienne.</w:t>
      </w:r>
    </w:p>
    <w:p>
      <w:r>
        <w:rPr>
          <w:b/>
        </w:rPr>
        <w:t>E. 4.2</w:t>
      </w:r>
    </w:p>
    <w:p>
      <w:r>
        <w:t>C'est à juste titre que l'autorité inférieure a considéré que le récit rapporté par le recourant est entaché d'éléments d'invraisemblance, de sorte que sa nationalité peut être mise en doute, au même titre que ses motifs d'asile. Toutefois, à supposer qu'il ne puisse pas se voir reconnaître la qualité de réfugié à titre originaire, la question se pose de savoir si cette reconnaissance doit intervenir en application du principe de l'unité de la famille énoncé à l'art. 51 al. 1 LAsi, sa compagne bénéficiant de ce statut par décision de l'ODM du 16 octobre 2009. Dit office a certes apporté une réponse à cette question. Il convient toutefois d'examiner si celle-ci est justifiée.</w:t>
      </w:r>
    </w:p>
    <w:p>
      <w:r>
        <w:rPr>
          <w:b/>
        </w:rPr>
        <w:t>E. 4.3</w:t>
      </w:r>
    </w:p>
    <w:p>
      <w:r>
        <w:t>Selon l'art. 51 al. 1 LAsi, le conjoint ou le partenaire enregistré d'un réfugié et leurs enfants mineurs sont reconnus comme réfugiés et obtiennent l'asile, pour autant qu'aucune circonstance particulière ne s'y oppose.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JICRA 2006 n° 8 p. 92 ss, JICRA 2006 n° 7 consid. 6 p. 80 ss, JICRA 2000 n° 11 p. 86 ss). Cette condition de la séparation par la fuite implique que le réfugié ait auparavant vécu en ménage commun avec la personne aspirant au regroupement familial, cette mesure étant destinée à la seule reconstitution de groupes familiaux préexistants et non pas à la création de nouvelles communautés familiales (cf. ibidem). L'existence d'un noyau familial au moment de la fuite est d'ailleurs la condition sine qua non de l'asile accordé aux familles prévu par l'art. 51 LAsi (cf. Message concernant la révision totale de la loi sur l'asile du 4 décembre 1995, FF 1995 II 67 s.; cf. également JICRA 2006 n° 8 p. 92 ss, JICRA 2006 n° 7 consid. 6 p. 80 ss, JICRA 2000 n° 11 p. 86 ss). Le fait que le conjoint ou les enfants mineurs d'un réfugié ont une autre nationalité que lui est constitutif d'une "circonstance particulière" au sens de l'art. 51 al. 1 LAsi. Une telle circonstance ne pourrait toutefois s'opposer à ce que la famille soit incluse dans le statut du parent reconnu réfugié que dans la seule hypothèse où il serait possible et raisonnablement exigible que toute la famille vive dans cet autre Etat plutôt qu'en Suisse (cf. JICRA 1996 n°14, qui est toujours d'actualité).</w:t>
      </w:r>
    </w:p>
    <w:p>
      <w:r>
        <w:rPr>
          <w:b/>
        </w:rPr>
        <w:t>E. 4.4</w:t>
      </w:r>
    </w:p>
    <w:p>
      <w:r>
        <w:t>En l'occurrence, l'autorité inférieure a considéré que la relation entre A._______ et C._______ s'inscrivait dans une communauté de vie de type familial et durable, mais qu'une circonstance particulière s'opposait à ce que l'intéressé soit inclus dans le statut de réfugié de sa compagne, dès lors que sa nationalité érythréenne n'était pas établie et qu'il paraissait plus vraisemblable qu'il soit de nationalité éthiopienne. Certes, il semble - ainsi que l'a relevé l'ODM à juste titre - que la nationalité érythréenne du recourant ne soit pas établie. Dit office n'a toutefois pas démontré que celui-ci était de nationalité éthiopienne, se contentant d'observer que cela était vraisemblable. Or, pour pouvoir admettre l'existence d'une circonstance particulière au sens de l'art. 51 al. 1 LAsi, il doit être établi que l'intéressé a une autre nationalité que sa compagne (cf. supra consid. 4.3). Au demeurant, l'office fédéral a totalement omis d'examiner si A._______ pourrait effectivement s'installer en Ethiopie avec C._______ et leur enfant commun. Il s'agit toutefois d'une question essentielle, dont la réponse détermine si le fait que les intéressés n'aient pas la même nationalité pourrait ou non s'opposer à ce que le recourant soit inclus dans le statut de réfugié de sa compagne (cf. ibidem). Cela étant, avant même de se poser la question de l'existence ou non d'une circonstance particulière au sens de l'art. 51 al. 1 LAsi, l'autorité inférieure aurait dû examiner si la "communauté de vie de type familial (recte : stable) et durable" dont elle a admis l'existence était déjà en place avant que les intéressés ne quittent l'Erythrée. Une réponse à cette question est indispensable, dès lors que l'existence d'un noyau familial au moment de la fuite est la condition sine qua non du regroupement familial prévu par l'art. 51 LAsi (cf. ibidem).</w:t>
      </w:r>
    </w:p>
    <w:p>
      <w:r>
        <w:rPr>
          <w:b/>
        </w:rPr>
        <w:t>E. 4.5</w:t>
      </w:r>
    </w:p>
    <w:p>
      <w:r>
        <w:t>Il ressort de ce qui précède que des investigations complémentaires et d'une certaine ampleur doivent être menées pour déterminer si A._______ et C._______ vivaient ensemble avant de fuir l'Erythrée. Le cas échéant, il sera également nécessaire - pour les motifs exposés dans le considérant ci-dessus - d'établir la nationalité éthiopienne du recourant et d'examiner si celui-ci pourra s'installer en Ethiopie avec sa compagne et leur fille. Au vu de ce qui précède, l'ODM devra donc mener une nouvelle audition, voire procéder à d'autres mesures d'instruction.</w:t>
      </w:r>
    </w:p>
    <w:p>
      <w:r>
        <w:rPr>
          <w:b/>
        </w:rPr>
        <w:t>E. 5.1</w:t>
      </w:r>
    </w:p>
    <w:p>
      <w:r>
        <w:t>Les recours contre les décisions de l'ODM en matière d'asile et de renvoi sont en principe des recours en réforme, exceptionnellement des recours en cassation (art. 105 al. 1 LAsi et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Zurich/Saint-Gall 2008 p. 774; PHILIPPE WEISSENBERGER, commentaire ad art. 61 PA, in : Praxis­kommentar VwVG, Waldmann/Weissenberger [éd.], Zurich/Bâle/Genève 2009, p. 1210; ANDRÉ MOSER/MICHAEL BEUSCH/LORENZ KNEUBÜHLER, Prozes­sieren vor dem Bundesverwaltungsgericht, Bâle 2008, p. 49).</w:t>
      </w:r>
    </w:p>
    <w:p>
      <w:r>
        <w:rPr>
          <w:b/>
        </w:rPr>
        <w:t>E. 5.2</w:t>
      </w:r>
    </w:p>
    <w:p>
      <w:r>
        <w:t>En l'espèce, et comme relevé plus haut, des investigations complémentaires d'une certaine ampleur doivent être menées pour se prononcer sur l'application du principe de la famille énoncé à l'art. 51 LAsi. Ces mesures dépassant l'ampleur et la durée de celles incombant au Tribunal, lequel ne saurait par ailleurs statuer en première et dernière instance à propos de questions de fait et de droit essentielles sur lesquelles l'autorité inférieure ne s'est pas prononcée au risque de priver la partie de la double instance, il y a lieu d'annuler la décision querellée, pour établissement incomplet de l'état de fait pertinent et violation du droit fédéral (art. 106 al. 1 let. a et b LAsi), et de renvoyer la cause à l'autorité intimée pour complément d'instruction dans le sens des considérants et nouvelle décision (art. 61 al. 1 PA).</w:t>
      </w:r>
    </w:p>
    <w:p>
      <w:r>
        <w:rPr>
          <w:b/>
        </w:rPr>
        <w:t>E. 6.1</w:t>
      </w:r>
    </w:p>
    <w:p>
      <w:r>
        <w:t>Vu l'issue de la cause, il n'est pas perçu de frais de frais de procédure.</w:t>
      </w:r>
    </w:p>
    <w:p>
      <w:r>
        <w:rPr>
          <w:b/>
        </w:rPr>
        <w:t>E. 6.2</w:t>
      </w:r>
    </w:p>
    <w:p>
      <w:r>
        <w:t>Conformément à l'art. 7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(cf. art. 14 FITAF). En l'espèce, en l'absence de note de frais, l'indemnité due au recourant à titre de dépens est fixée ex aequo et bono à Fr. 350.--.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