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D-7200/2007 vom 17. März 2010</w:t>
      </w:r>
    </w:p>
    <w:p>
      <w:r>
        <w:t>Bundesverwaltungsgericht, 2010-03-17, FR</w:t>
      </w:r>
    </w:p>
    <w:p>
      <w:r>
        <w:rPr>
          <w:b/>
        </w:rPr>
        <w:t xml:space="preserve">Quelle: </w:t>
      </w:r>
      <w:r>
        <w:t>https://mcp.opencaselaw.ch/entscheid/bvger_D-7200_2007</w:t>
      </w:r>
    </w:p>
    <w:p>
      <w:r>
        <w:t>FR: TAF D-7200/2007 du 17 mars 2010</w:t>
      </w:r>
    </w:p>
    <w:p>
      <w:r>
        <w:t>IT: TAF D-7200/2007 del 17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de la loi sur l'asile du 26 juin 1998 (LAsi, RS 142.31).</w:t>
      </w:r>
    </w:p>
    <w:p>
      <w:r>
        <w:rPr>
          <w:b/>
        </w:rPr>
        <w:t>E. 1.2</w:t>
      </w:r>
    </w:p>
    <w:p>
      <w:r>
        <w:t>La recourante a qualité pour recourir (art. 48 PA). Présenté dans la forme (art. 52 PA) et le délai prescrits par la loi (art. 50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l'intéressée, qui soutient s'être trouvée soumise à la pression de son père pour conclure un mariage forcé, n'a pas été en mesure de faire apparaître la crédibilité de ses déclarations. En effet, ces dernières comportent trop de divergences, sont vagues et inconsistantes sur des points essentiels. Ses propos apparaissent évasifs et succincts et ne sauraient refléter une expérience vécue. Ainsi, la recourante ignore la durée du trajet effectué en taxi entre son domicile à Conakry et le lieu du mariage à B._______, ainsi que le nombre de personnes qui auraient partagés ce véhicule. S'agissant du lieu du mariage, elle a déclaré qu'il s'était tenu dans la maison de son père au village, alors que celui-ci ne semble posséder qu'une maison à Conakry-(...) ; il s'agirait plutôt de la maison de l'un de ses oncles, puisqu'ils vivraient tous à B._______. Par ailleurs, elle a hésité quant à la date de son mariage, qui aurait eu lieu le 19 ou le 20 avril 2006. Concernant la cérémonie du mariage, elle n'a tout d'abord pu fournir aucune indication quant aux préparatifs, puis n'a pas pu expliquer son déroulement, la provenance des habits qu'elle portait, ni le nombre, même approximatif, des personnes présentes. Elle n'a en outre pas su dire si les deux premières femmes de son mari y avaient assisté. Elle a été incapable de déterminer si le repas avait eu lieu avant ou après la cérémonie et n'a pas été en mesure d'estimer la durée des festivités. Enfin, la recourante ne sait rien des mariages forcés, qui sont pourtant courants dans son pays, ni des pratiques à ce sujet. De surcroît, l'intéressée a été incapable de décrire la demeure de son mari, dans laquelle elle aurait vécu durant environ un mois, malgré les questions précises de l'auditeur. Elle n'a pas pu donner le nombre précis d'enfants qui auraient vécu avec elle à cet endroit et a déclaré tantôt que certains seulement étaient plus âgés qu'elle, tantôt qu'ils étaient tous plus âgés. En outre, alors qu'elle se serait rendue aux champs à plusieurs reprises, elle n'a pas pu dire à combien de temps, à pied, ceux-ci étaient éloignés de la maison. L'intéressée n'a pas pu dater, même de façon approximative, quand son frère serait venu au village (une semaine après son mariage ou plusieurs semaines après celui-ci), ni le laps de temps qui aurait séparé ses deux visites. Interrogée sur les circonstances de sa fuite, la recourante a fait des déclarations contradictoires et contraires à toute logique. En effet, elle a commencé par alléguer qu'elle avait dû faire semblant de partir avec son mari et toute sa famille en direction de la mosquée, puis avait quitté ceux-ci pour se rendre aux toilettes, extérieures à la maison. Or, elle a admis qu'elle-même n'allait pas tous les jours à la mosquée et il est illogique qu'elle ait donc dû monter ce plan de fuite, alors qu'elle pouvait attendre d'être seule à la maison. Elle a ensuite déclaré que son frère était arrivé alors qu'elle était seule à la maison, tous les autres étant aux champs. Dès lors, il n'est pas compréhensible qu'ils aient attendu leur retour pour fuir. De plus, la recourante a tenu des propos contradictoires en décrivant sa famille, puisqu'elle a déclaré tantôt n'avoir qu'un seul oncle (pv de son audition cantonale p. 5), tantôt que son père avait trois frères (pv de la même audition p. 8). Confrontée à cette contradiction, elle n'a fourni aucune réponse susceptible de l'atténuer. Elle a affirmé qu'avant la mort de sa mère, son frère vivait avec sa famille, puis quelques minutes plus tard, elle a déclaré qu'il venait irrégulièrement et uniquement pour prendre ses repas au domicile familial.</w:t>
      </w:r>
    </w:p>
    <w:p>
      <w:r>
        <w:rPr>
          <w:b/>
        </w:rPr>
        <w:t>E. 3.2</w:t>
      </w:r>
    </w:p>
    <w:p>
      <w:r>
        <w:t>Dès lors, au vu des considérants qui précèdent, la recourante n'a pas rendu vraisemblable qu'elle s'était soustraite à un mariage forcé, alors qu'il s'agissait là de son unique motif d'asile. Par ailleurs, ses déclarations au sujet de son départ de Guinée et de la composition de sa famille s'avèrent invraisemblables. Il s'ensuit que le recours, en tant qu'il conteste le refus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ss).</w:t>
      </w:r>
    </w:p>
    <w:p>
      <w:r>
        <w:rPr>
          <w:b/>
        </w:rPr>
        <w:t>E. 6.3.1</w:t>
      </w:r>
    </w:p>
    <w:p>
      <w:r>
        <w:t>En l'occurrence, force est de constater que la recourante n'a pas été en mesure d'établir, pour les motifs exposés au considérant 3, l'existence d'un risque personnel, concret et sérieux d'être exposée, en cas de renvoi en Guinée, à un traitement prohibé par les art. 3 CEDH et 3 Conv. torture.</w:t>
      </w:r>
    </w:p>
    <w:p>
      <w:r>
        <w:rPr>
          <w:b/>
        </w:rPr>
        <w:t>E. 6.4</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La Guinée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(cf. arrêt du Tribunal administratif fédéral E-5984/2006 du 21 octobre 2009 consid. 6.4).</w:t>
      </w:r>
    </w:p>
    <w:p>
      <w:r>
        <w:rPr>
          <w:b/>
        </w:rPr>
        <w:t>E. 7.3</w:t>
      </w:r>
    </w:p>
    <w:p>
      <w:r>
        <w:t>En ce qui concerne la situation particulière de la recourante, force est de reconnaître tout d'abord qu'elle est majeure au moment où le Tribunal statue. Dès lors, les éventuelles causes d'empêchement à l'exécution du renvoi liées à sa situation de mineure non accompagnée ne sont plus d'actualité et n'ont plus à être examinées. En outre, il ne ressort du dossier aucun élément dont on pourrait inférer que l'exécution du renvoi impliquerait, pour des raisons qui lui sont propres, une mise en danger concrète au sens de l'art. 83 al. 4 LEtr en cas de retour dans son pays d'origine. Même si, par hypothèse, les motifs qui l'ont amenée à quitter son village étaient avérés, le Tribunal estime que, compte tenu de la présence de sa tante à Conakry et de la possibilité, pour elle, de s'installer dans cette ville, il n'y a pas lieu de conclure que l'intéressée se retrouverait dans une situation particulièrement vulnérable en cas de retour au pays. Si l'on se réfère à ses déclarations, elle est demeurée un mois chez sa tante sans y être menacée par son père. Le fait que cette dernière accepte de l'héberger, puis de garder sa fille démontre qu'elle ne craignait pas de sérieuses représailles de celui-ci. Sa tante représente ainsi, pour le moins, un point de chute et un soutien social et financier. Dans ces conditions, et compte tenu également de la possibilité pour la recourante de solliciter le bénéfice du programme d'aide au retour en Guinée, le Tribunal estime qu'elle pourra se réinstaller dans son pays d'origine, sans y affronter d'excessives difficultés susceptibles de la mettre concrètement en danger. Enfin, la recourante n'a pas allégué de problème de santé, qui serait en soi constitutif d'un motif d'inexigibilité de l'exécution du renvoi (cf. JICRA 2003 n° 24).</w:t>
      </w:r>
    </w:p>
    <w:p>
      <w:r>
        <w:rPr>
          <w:b/>
        </w:rPr>
        <w:t>E. 7.4</w:t>
      </w:r>
    </w:p>
    <w:p>
      <w:r>
        <w:t>Pour ces motifs, l'exécution du renvoi doit être considérée comme raisonnablement exigible.</w:t>
      </w:r>
    </w:p>
    <w:p>
      <w:r>
        <w:rPr>
          <w:b/>
        </w:rPr>
        <w:t>E. 8</w:t>
      </w:r>
    </w:p>
    <w:p>
      <w:r>
        <w:t>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(art. 83 al. 2 LEtr).</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w:t>
      </w:r>
    </w:p>
    <w:p>
      <w:r>
        <w:rPr>
          <w:b/>
        </w:rPr>
        <w:t>E. 11</w:t>
      </w:r>
    </w:p>
    <w:p>
      <w:r>
        <w:t>La demande d'assistance judiciaire partielle ayant été admise, il n'est pas perçu de frais de procédure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