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D-7199/2010 vom 17. Februar 2011</w:t>
      </w:r>
    </w:p>
    <w:p>
      <w:r>
        <w:t>Bundesverwaltungsgericht, 2011-02-17, DE</w:t>
      </w:r>
    </w:p>
    <w:p>
      <w:r>
        <w:rPr>
          <w:b/>
        </w:rPr>
        <w:t xml:space="preserve">Quelle: </w:t>
      </w:r>
      <w:r>
        <w:t>https://mcp.opencaselaw.ch/entscheid/bvger_D-7199_2010</w:t>
      </w:r>
    </w:p>
    <w:p>
      <w:r>
        <w:t>FR: TAF D-7199/2010 du 17 février 2011</w:t>
      </w:r>
    </w:p>
    <w:p>
      <w:r>
        <w:t>IT: TAF D-7199/2010 del 17 febbraio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2.1</w:t>
      </w:r>
    </w:p>
    <w:p>
      <w:r>
        <w:t>Der Zeitpunkt der Eröffnung der angefochtenen Verfügung steht man­gels Rückscheins bei den Akten nicht fest. Mit Eingabe vom 5. Juli 2010 (Eingang Botschaft) machte der Beschwerdeführer geltend, den vorinstanzlichen Entscheid vom 26. Mai 2010 am 14. Juni 2010 erhalten zu ha­ben. Dies Angaben lassen sich mit den vorliegenden Akten vereinba­ren, weshalb ohne Weiteres von der Fristwahrung ausgegangen werden kann. Auch die Beschwerdeverbesserung ging innert der angesetzten Frist ein.</w:t>
      </w:r>
    </w:p>
    <w:p>
      <w:r>
        <w:rPr>
          <w:b/>
        </w:rPr>
        <w:t>E. 2.2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AsylG sowie Art. 105 AsylG i.V.m. 37 VGG und Art. 48 Abs. 1 und Art. 52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Amtssprachen des Bundes sind das Deutsche, Französische und Italieni­sche (vgl. Art. 70 Abs. 1 der Bundesverfassung der Schweizeri­schen Eidge­nossenschaft vom 18. April 1999 [BV, SR 101]). Aus pro­zessökonomi­schen Gründen ist vorliegend indes auf die Nach­forde­rung einer Übersetzung der englischsprachigen Eingaben zu ver­zichten.</w:t>
      </w:r>
    </w:p>
    <w:p>
      <w:r>
        <w:rPr>
          <w:b/>
        </w:rPr>
        <w:t>E. 5</w:t>
      </w:r>
    </w:p>
    <w:p>
      <w:r>
        <w:t>Gestützt auf Art. 111a Abs. 1 AsylG wurde vorliegend auf die Durch­füh­rung des Schriftenwechsels verzichtet.</w:t>
      </w:r>
    </w:p>
    <w:p>
      <w:r>
        <w:rPr>
          <w:b/>
        </w:rPr>
        <w:t>E. 6.1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6.2</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6.3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w:t>
      </w:r>
    </w:p>
    <w:p>
      <w:r>
        <w:rPr>
          <w:b/>
        </w:rPr>
        <w:t>E. 7</w:t>
      </w:r>
    </w:p>
    <w:p>
      <w:r>
        <w:t>Gemäss Praxis des Bundesverwaltungsgerichts ist die asylsuchende Per­son im Auslandverfahren in der Regel zu befragen. Davon kann nur ab­ge­wichen werden, wenn eine Befragung faktisch oder aus orga­nisatorischen oder kapazitätsmässigen Gründen nicht möglich ist. Vorliegend hat das BFM nach Kassation seiner Verfügung vom 28. März 2007 durch das Bundesverwaltungsgericht am 19. März 2009 den Be­schwerdeführer am 11. Mai 2009 befragen lassen. Den oben genannten Anforderungen an das rechtliche Gehör ist nunmehr Rechnung getragen worden.</w:t>
      </w:r>
    </w:p>
    <w:p>
      <w:r>
        <w:rPr>
          <w:b/>
        </w:rPr>
        <w:t>E. 8.1</w:t>
      </w:r>
    </w:p>
    <w:p>
      <w:r>
        <w:t>Das BFM hat die vom Beschwerdeführer vorgebrachte Tötung von An­gehörigen und Verwandten für glaubhaft erachtet. Auch wenn die gel­tend gemachten Umstände der Tötungsdelikte letztlich nicht in allen Punk­ten überprüft werden können, ist diese Sichtweise grundsätzlich zu tei­len. Das BFM erwägt aber zu Recht, dass das Persönlichkeitsprofil des Beschwerdeführers, welcher gemäss seinen Aussagen politisch nicht ak­tiv war, aktuell nicht auf eine konkret drohende und für die Einreise in die Schweiz relevante Gefährdung hindeutet. So hat er in seiner letzten Ein­gabe an das Bundesverwaltungsgericht (Eingang: 27. respektive 28. Ja­nuar 2011) als Beweismittel ein wenig aussagekräftiges Schreiben eines Pastors vom 18. Januar 2011 beigelegt. Darin werden im Wesentlichen le­diglich die bisherigen Vorbringen des Beschwerdeführers nochmals er­wähnt. Eine konkret drohende und einreiserelevante Gefahr in Sri Lanka ist so aber erneut nicht hinreichend dargetan. Auch das ärztliche Doku­ment rechtfertigt offensichtlich keine andere Einschätzung. Vielmehr ist ge­mäss Aktenlage davon auszugehen, dass der Beschwerdeführer seit Kriegsende ohne grössere Einschränkungen vor Ort leben konnte. Zwar verursachen die Narben seiner Verletzungen möglicherweise nach wie vor ge­wisse Nachfragen seitens der Sicherheitskräfte anlässlich von Kontrol­len. Nachdem er aber auf Beschwerdeebene solche aktuellen allfälligen Ein­griffe nicht konkretisiert und überdies bereits bei der Anhörung ausge­sagt hatte, durch die Sicherheitskräfte nie festgenommen oder inhaftiert wor­den zu sein (A 12/19 S. 14), erscheint eine akute Gefährdung wie­derum nicht als beachtlich wahrscheinlich. Die Vorinstanz weist zudem auf eine Verbesserung der Sicherheitslage namentlich im Herkunftsgebiet des Beschwerdeführers seit Ende des Bürgerkriegs hin. Es dürfte zutref­fen, dass gewisse Gewaltdelikte inzwischen zurückgegangen sind, auch wenn namentlich die TMVP wohl kaum bereits generell als gewaltfreie politi­sche Partei bezeichnet werden kann. Konkrete Anhaltspunkte, dass dem Beschwerdeführer von dieser Gruppierung mit beachtlicher Wahr­scheinlichkeit eine erhebliche Gefährdung droht, sind nach dem Gesag­ten indes nicht zu erkennen. Dies wird auch dadurch bestätigt, dass er nach einem Aufenthalt in Z._______ vom Juni 2006 bis Februar 2008 nach Sri Lanka zurückgekehrt ist, ohne dass er dies nachvollziehbar begründen konnte. Darüber hinaus hat er trotz der angeblichen Gefährdung in Sri Lanka darauf verzichtet, im Herbst 2008 gestützt auf ein entsprechendes Visum erneut in Z._______ Zuflucht zu suchen (A 12/19 S. 4 f.). Vor die­sem Hintergrund ist schliesslich auch die vom BFM vorgenommene Würdigung der im vorinstanzlichen Ver­fahren eingereichten Beweismittel zu bestätigen, da die Dokumente eine aktuell konkret drohende Gefahr für den Beschwer­deführer nicht hinreichend zu belegen vermögen.</w:t>
      </w:r>
    </w:p>
    <w:p>
      <w:r>
        <w:rPr>
          <w:b/>
        </w:rPr>
        <w:t>E. 8.2</w:t>
      </w:r>
    </w:p>
    <w:p>
      <w:r>
        <w:t>Das Bundesverwaltungsgericht nahm im Grundsatzurteil BVGE 2008/2 eine Lageanalyse betreffend Sri Lanka vor und ge­langte dabei zum Schluss, dass sich die allgemeine Sicher­heitslage seit Januar 2006 ins­gesamt, insbesondere aber in Colombo kon­tinu­ierlich verschlechtert habe. Seit Ergehen dieses Urteils am 14. Feb­ruar 2008 hatte sich der be­waffnete Konflikt zwischen der Re­gie­rung und der LTTE weiter zugespitzt. Nach der Rückeroberung des letz­ten von der LTTE kontrollierten Gebie­tes im Raum Mullaitivu wur­de am 18. Mai 2009 seitens der Regierung der endgültige Sieg über die LTTE verkündet und der Bürgerkrieg offiziell für be­endet er­klärt. Nach dieser Niederlage der LTTE haben die srilanki­schen Be­hörden - namentlich im Grossraum Colom­bo - die Sicherheitsmass­nahmen noch nicht aufgehoben. Daher laufen gerade junge Män­ner Gefahr, überall und jederzeit von srilankischem Si­cher­heits­personal ei­ner minuziösen Personenkontrolle unterzogen und öf­ters auch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und ebenso auch in Colombo ausgesetzt sind, kommt in­des aufgrund man­gelnder Intensität kein Verfol­gungscharakter im Sin­ne von Art. 3 AsylG zu. Entsprechend ver­mögen die weiteren Aus­führungen des Be­schwerdeführers in den Einga­ben zur generellen Gefährdungssituation seiner Person nicht zur Asylgewährung zu füh­ren. Anzufügen bleibt, dass er bei der Befragung zu Protokoll gab, ohne Probleme nach Co­lombo gelangt zu sein (A 12/19 S. 14). Er vermag mithin nicht substanzi­iert dar­zutun, inwiefern das BFM zu Unrecht geschlossen habe, er sei nicht schutzbedürftig im Sinne des AsylG.</w:t>
      </w:r>
    </w:p>
    <w:p>
      <w:r>
        <w:rPr>
          <w:b/>
        </w:rPr>
        <w:t>E. 9</w:t>
      </w:r>
    </w:p>
    <w:p>
      <w:r>
        <w:t>Zusammenfassend ist festzustellen, dass der Beschwerdeführer keine Ge­fährdung im Sinne von Art. 3 AsylG glaubhaft machen konnte. Auf­grund der vor­stehenden Erwägungen erübrigt es sich, auf die weiteren Aus­führungen ein­zugehen, da sie am festgestellten Ergebnis nichts zu än­dern vermö­gen. Das BFM hat demnach zu Recht die Einreise in die Schweiz nicht bewilligt und das Asylgesuch abgelehnt.</w:t>
      </w:r>
    </w:p>
    <w:p>
      <w:r>
        <w:rPr>
          <w:b/>
        </w:rPr>
        <w:t>E. 10</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11</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