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D-7197/2017 vom 19. März 2018</w:t>
      </w:r>
    </w:p>
    <w:p>
      <w:r>
        <w:t>Bundesverwaltungsgericht, 2018-03-19, FR</w:t>
      </w:r>
    </w:p>
    <w:p>
      <w:r>
        <w:rPr>
          <w:b/>
        </w:rPr>
        <w:t xml:space="preserve">Quelle: </w:t>
      </w:r>
      <w:r>
        <w:t>https://mcp.opencaselaw.ch/entscheid/bvger_D-7197_2017</w:t>
      </w:r>
    </w:p>
    <w:p>
      <w:r>
        <w:t>FR: TAF D-7197/2017 du 19 mars 2018</w:t>
      </w:r>
    </w:p>
    <w:p>
      <w:r>
        <w:t>IT: TAF D-7197/2017 del 19 marzo 2018</w:t>
      </w:r>
    </w:p>
    <w:p>
      <w:pPr>
        <w:pStyle w:val="Heading2"/>
      </w:pPr>
      <w:r>
        <w:t>Regeste</w:t>
      </w:r>
    </w:p>
    <w:p>
      <w:r>
        <w:t>Renvoi et exécution du renvoi (recours réexamen)</w:t>
      </w:r>
    </w:p>
    <w:p>
      <w:pPr>
        <w:pStyle w:val="Heading2"/>
      </w:pPr>
      <w:r>
        <w:t>Erwägungen</w:t>
      </w:r>
    </w:p>
    <w:p>
      <w:r>
        <w:rPr>
          <w:b/>
        </w:rPr>
        <w:t>E. 6</w:t>
      </w:r>
    </w:p>
    <w:p>
      <w:r>
        <w:t>Au vu de ce qui précède, le recours s'avérant manifestement fondé, il est admis dans une procédure à juge unique, avec l'approbation d'une seconde juge (cf. art. 111 let. e LAsi). Cela étant, il y a lieu d'annuler la décision du SEM, pour violation du droit fédéral et établissement inexact et incomplet de l'état de fait pertinent (cf. art. 106 al. 1 let. a et b LAsi), et de lui renvoyer la cause pour complément d'instruction, au sens des considérants, et nouvelle décision (cf. art. 61 al. 1 PA). Il incombera au SEM d'examiner si l'exécution du renvoi du recourant vers le Mali est raisonnablement exigible. A cet égard, l'autorité intimée analysera en particulier si l'exécution du renvoi dans cet Etat impliquerait une mise en danger concrète de l'intéressé, notamment en raison de [nom de l'affection] dont celui-ci souffre et du fait qu'il a été principalement socialisé dans un autre pays.</w:t>
      </w:r>
    </w:p>
    <w:p>
      <w:r>
        <w:rPr>
          <w:b/>
        </w:rPr>
        <w:t>E. 7.1</w:t>
      </w:r>
    </w:p>
    <w:p>
      <w:r>
        <w:t>Compte tenu de l'issue de la procédure, et indépendamment de l'octroi de l'assistance judiciaire partielle à A._______ par décision incidente du (...) 2018, il n'y a pas lieu de percevoir de frais (art. 63 al. 1 et 2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 Le tarif horaire est dans la règle de 200 à 400 francs pour les avocats, et de 100 à 300 francs pour les représentants n'exerçant pas la profession d'avocat (cf. art. 10 al. 2 du règlement du 11 décembre 2006 concernant les frais, dépens et indemnités fixés par le Tribunal administratif fédéral [FITAF, RS 173.320.2]). Seuls les frais nécessaires sont indemnisés (cf. art. 8 al. 2 FITAF).</w:t>
      </w:r>
    </w:p>
    <w:p>
      <w:r>
        <w:rPr>
          <w:b/>
        </w:rPr>
        <w:t>E. 7.3</w:t>
      </w:r>
    </w:p>
    <w:p>
      <w:r>
        <w:t>En l'espèce, il y a lieu de fixer le montant de l'indemnité sur la base de la note de frais jointe au recours (art. 14 al. 2 FITAF), datée du (...) 2017, laquelle retient dix heures de travail au tarif horaire de 200 francs, à quoi s'ajoutent les débours par 50 francs, d'où un total de 2'050 francs. En vertu de la règle rappelée plus haut, le Tribunal réduira l'indemnité horaire à 130 francs. Les dépens seront ainsi arrêtés à un montant de 960 francs (soit sept heures au tarif horaire de 130 francs égalant à 910 francs, à quoi s'ajoutent les débours), pour l'activité indispensable et utile déployée par le mandataire du recourant dans la présente procédure de recours,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