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D-7193/2017 vom 15. Januar 2018</w:t>
      </w:r>
    </w:p>
    <w:p>
      <w:r>
        <w:t>Bundesverwaltungsgericht, 2018-01-15, DE</w:t>
      </w:r>
    </w:p>
    <w:p>
      <w:r>
        <w:rPr>
          <w:b/>
        </w:rPr>
        <w:t xml:space="preserve">Quelle: </w:t>
      </w:r>
      <w:r>
        <w:t>https://mcp.opencaselaw.ch/entscheid/bvger_D-7193_2017</w:t>
      </w:r>
    </w:p>
    <w:p>
      <w:r>
        <w:t>FR: TAF D-7193/2017 du 15 janvier 2018</w:t>
      </w:r>
    </w:p>
    <w:p>
      <w:r>
        <w:t>IT: TAF D-7193/2017 del 15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4.3</w:t>
      </w:r>
    </w:p>
    <w:p>
      <w:r>
        <w:t>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der FK wieder relativiert (vgl. Art. 3 Abs. 4 in fine AsylG).</w:t>
      </w:r>
    </w:p>
    <w:p>
      <w:r>
        <w:rPr>
          <w:b/>
        </w:rPr>
        <w:t>E. 5.1</w:t>
      </w:r>
    </w:p>
    <w:p>
      <w:r>
        <w:t>Die Vorinstanz kam in der angefochtenen Verfügung zum Schluss, die geltend gemachten subjektiven Nachfluchtgründe des Beschwerdeführers erfüllten die Anforderungen an die Flüchtlingseigenschaft nicht. Die blosse Mitgliedschaft in der IDB vermöge nicht, die Gefahr einer asylrelevanten Verfolgung bei Rückkehr in den Heimatstaat zu begründen. Den Akten könnten keine Hinweise entnommen werden, dass die iranischen Behörden von dieser Mitgliedschaft Kenntnis genommen oder gestützt darauf Massnahmen zum Nachteil des Beschwerdeführers eingeleitet hätten. Es sei zwar bekannt, dass sie sich für die exilpolitischen Tätigkeiten ihrer Staatsangehörigen interessierten. Es sei aber weder ersichtlich, dass sich der Beschwerdeführer bei seinen Aktivitäten im Rahmen der IDB und der Teilnahme an Protestaktionen, von denen es auch Aufnahmen im Internet gebe, in besonderer Art und Weise exponiert habe, noch, wie sich seine Aufgaben tatsächlich auf sein konkretes politisches Profil ausgewirkt haben sollen. Die Behauptung, ihm komme innerhalb des IDB eine Führungsfunktion zu, sei nicht bewiesen. Die eingereichte polizeiliche Bewilligung von (...) 2017 für eine geplante Standaktion könne ebenfalls keine verstärkte Exponierung belegen. Auffallend sei zudem, dass diese erst nach Einreichung des Mehrfachgesuchs ausgestellt und später zu den Akten gereicht worden sei, was den Verdacht aufkommen lasse, der Beschwerdeführer habe sie sich nachträglich zur Schärfung seines politischen Profils ausstellen lassen.</w:t>
      </w:r>
    </w:p>
    <w:p>
      <w:r>
        <w:rPr>
          <w:b/>
        </w:rPr>
        <w:t>E. 5.2</w:t>
      </w:r>
    </w:p>
    <w:p>
      <w:r>
        <w:t>In seiner Beschwerdeeingabe wiederholte der Beschwerdeführer im Wesentlichen seine Vorbringen im Mehrfachgesuch und führte weiter aus, die Kundgebungen der IDB erschöpften sich nicht in der auf den eingereichten Fotos erkennbaren Form. Die Teilnehmenden nähmen Kontakt zu Passanten auf, sammelten Unterschriften für Petitionen gegen Menschenrechtsverletzungen im Iran und führten mit ihnen politische Diskussionen. Dabei prangerten sie namentlich Hinrichtungen von Regimegegnern, religiöse Intoleranz und schwere Menschenrechtsverletzungen der iranischen Regierung in der Öffentlichkeit an. Die Exekutivmitglieder der IDB beteiligten sich weiter an der internen Diskussion und der Vorbereitung der öffentlichen Anlässe. Sie verpflichteten sich zudem zu finanziellen Verbindlichkeiten gegenüber der IDB. Insgesamt seien sie besonders exponiert und könnten auch sehr einfach identifiziert werden, da ihre Namen auf der Internetseite der Organisation angegeben seien. Abgesehen davon sei er noch für die Mobilisierung der im Kanton (...) ansässigen Sympathisanten und Mitglieder der IDB verantwortlich, was auch in der Öffentlichkeit sichtbar werde. Das Referenzschreiben der IDB könne deshalb nicht als blosses Gefälligkeitsschreiben betrachtet werden. Bei Gesuchstellung sei er seit mehr als (...) Monaten ununterbrochen für verschiedene exilpolitisch gegen die iranische Regierung aktive Gruppen tätig gewesen. Angesichts der finanziellen und technischen Mittel der iranischen Regierung zur Informationsgewinnung gegenüber Regimekritikern, zu denen näher ausgeführt wurde, sei davon auszugehen, dass er bereits wegen seiner Aktivitäten bei den iranischen Behörden registriert sei.</w:t>
      </w:r>
    </w:p>
    <w:p>
      <w:r>
        <w:rPr>
          <w:b/>
        </w:rPr>
        <w:t>E. 6</w:t>
      </w:r>
    </w:p>
    <w:p>
      <w:r>
        <w:t>Eine einlässliche Prüfung der Akten ergibt, dass die Vorinstanz eine begründete Furcht vor asylrechtlich relevanten Nachteilen zu Recht verneint hat.</w:t>
      </w:r>
    </w:p>
    <w:p>
      <w:r>
        <w:rPr>
          <w:b/>
        </w:rPr>
        <w:t>E. 6.1</w:t>
      </w:r>
    </w:p>
    <w:p>
      <w:r>
        <w:t>Es ist bekannt, dass die iranischen Behörden die politischen Aktivitäten ihrer Staatsbürger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in Referenzurteil D-830/2016 vom 20. Juli 2016 E. 4.2).</w:t>
      </w:r>
    </w:p>
    <w:p>
      <w:r>
        <w:rPr>
          <w:b/>
        </w:rPr>
        <w:t>E. 6.2</w:t>
      </w:r>
    </w:p>
    <w:p>
      <w:r>
        <w:t>In Würdigung der gesamten Aktenlage kann nicht gänzlich ausgeschlossen werden, dass die mit der Beobachtung der exilpolitischen Aktivitäten betrauten iranischen Sicherheitsdienste von der Person des Beschwerdeführers und zumindest Teilen seiner Tätigkeiten sowie allenfalls seiner Funktion innerhalb der IDB Notiz genommen haben. Nach Prüfung der Beweisunterlagen gelangt das Gericht jedoch zum Schluss, dass der Beschwerdeführer nicht mit hinreichender Wahrscheinlichkeit in die Kategorie der Personen fällt, die aufgrund ihrer Tätigkeit oder Funktionen als ernsthafte und potentiell gefährliche Regimegegner wahrgenommen werden. Den vorinstanzlich und auf Beschwerdeebene eingereichten Unterlagen - insbesondere die Bestätigung der Mitgliedschaft im Exekutivkomitee und der Präsidentschaft für den Kanton (...), die Auflistung von Teilnahmen an exilpolitischen Tätigkeiten in (...) in den Jahren 2016 und 2017, die dafür erstellten Flyer, die Fotos, die Publizierung derselben auf der Internetseite des IDB - ist nicht zu entnehmen, dass sich der Beschwerdeführer bei diesen Kundgebungen oder in der Organisation in besonderer Weise und über das Mass der anderen Personen hinaus exponiert oder er eine in der Öffentlichkeit erkennbare wichtige Führungsposition innegehabt hätte. Die geltend gemachten exilpolitischen Aktivitäten (Unterschriftensammlungen, Standaktionen, Kundgebungen, interne Sitzungen und Diskussionen), an denen der Beschwerdeführer regelmässig teilnahm beziehungsweise teilgenommen haben soll, zeichnen sich vielmehr durch ihre Häufigkeit, denn durch im vorliegenden Sinn interessierende Qualität aus. Es sei abgesehen davon angemerkt, dass mangels weiterer Ausführungen zu Inhalt und Relevanz der aufgelisteten Beiträge bei DORRTV.org diesen kein Beweiswert für die exilpolitische Profilierung des Beschwerdeführers zugesprochen werden kann. Obschon der Beschwerdeführer im Weiteren auf der Internetseite der IDB als Mitglied des Exekutivkomitees und Präsident des Kantons (...) aufgeführt ist, bewirkt dies in einer Gesamtbeurteilung seines exilpolitischen Profils noch keinen hinreichenden Exponierungsgrad, der den Eindruck erweckt, er würde aus der Sicht der iranischen Sicherheitsdienste mit grosser Wahrscheinlichkeit als eine Person herausragen, die als Gefahr für den Bestand des Regimes eingeschätzt werden müsste. Dies gilt gleichermassen für seine Vorbringen, in seiner Funktion als Präsident für den Kanton (...) für die Mobilisierung der Mitglieder und Sympathisanten sowie für die - mit Kopie der polizeilichen Bewilligungen von (...) und (...)2017 belegten - Organisation der Bewilligung verschiedener Standaktionen in der Stadt (...) verantwortlich zu sein, zumal dafür auch andere Personen in der IDB (...) zur gleichen Zeit zuständig gewesen sein sollen (vgl. Urteil des BVGer E-5508/2017 vom 26. Oktober 2017, Bst. D.d.) und dem Beschwerdeführer insoweit keine herausgehobene Führungsfunktion für den IDB im Kanton (...) zukommen dürfte. Festzustellen ist sodann, dass die Vorbringen in der Beschwerdeeingabe zur Aktivität des Beschwerdeführers in verschiedenen Gruppen und die Behauptung, das Bestätigungsschreiben sei nicht bloss als reine Gefälligkeit zu erachten, nichts zu ändern vermögen. So bleibt unklar, in welchen weiteren Gruppen der Beschwerdeführer aktiv gewesen und inwiefern dadurch sein politisches Profil relevant verschärft worden sein soll. Praxisgemäss werden sodann entsprechende Bestätigungsschreiben regelmässig auf Anfrage der asylsuchenden Person erstellt, sodass ihnen - so auch hier - insoweit wenig Beweiswert zukommt. Augenfällig ist nicht zuletzt, dass der Beschwerdeführer seine exilpolitischen Tätigkeiten unmittelbar nach dem negativen Ausgang des ersten Asylverfahrens aufnahm. Dort wurden keinerlei politische Aktivitäten im Iran geltend gemacht. Somit kann schon nicht von der Fortsetzung einer politischen Haltung ausgegangen werden. Vielmehr drängt sich der Eindruck auf, dass der Beschwerdeführer in erster Linie exilpolitisch tätig wurde, um die Chancen auf ein Aufenthaltsrecht in der Schweiz zu erhöhen. Vor diesem Hintergrund ist auch der Vorinstanz zuzustimmen, welche in der Nachreichung der polizeilichen Bewilligung diverser Standaktionen vom (...) 2017 eine nachträgliche Profilierung des politischen Profils des Beschwerdeführers vermutete.</w:t>
      </w:r>
    </w:p>
    <w:p>
      <w:r>
        <w:rPr>
          <w:b/>
        </w:rPr>
        <w:t>E. 6.3</w:t>
      </w:r>
    </w:p>
    <w:p>
      <w:r>
        <w:t>Zusammenfassend ist somit festzuhalten, dass das Vorliegen subjektiver Nachfluchtgründe zu verneinen ist. Es erübrigt sich daher, auf weitere Vorbringen in der Beschwerde näher einzugehen. Die Vorinstanz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vorliegend in Beachtung der massgeblichen völker- und landesrechtlichen Bestimmungen zulässig (Art. 83 Abs. 3 AuG), da weder das flüchtlingsrechtliche Non-Refoulement-Prinzip tangiert ist noch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 vgl. zum Ganzen Urteil des BVGer D-830/2016 vom 20. Juni 2016).</w:t>
      </w:r>
    </w:p>
    <w:p>
      <w:r>
        <w:rPr>
          <w:b/>
        </w:rPr>
        <w:t>E. 8.3</w:t>
      </w:r>
    </w:p>
    <w:p>
      <w:r>
        <w:t>Sodann lassen weder die allgemeine Lage in Iran noch individuelle Gründe auf eine konkrete Gefährdung im Falle einer Rückkehr schliessen, weshalb der Vollzug der Wegweisung vorliegend zumutbar ist (Art. 83 Abs. 4 AuG). Insbesondere vermag der eingereichte Arztbericht des (...) vom (...) 2017, in welchem muskuläre Schmerzen in der (...) Schulter des Beschwerdeführers als Somatisierung bei depressiver Entwicklung diagnostiziert wurden, zu keiner anderen Einschätzung zu führen, zumal die dort erwähnte (...) Behandlung von Schlafstörungen und einer Depression wegen (...) nur die Aussagen des Beschwerdeführers wiedergeben und keine eigene Diagnose des berichtenden Arztes darstellen. Im Übrigen kann ergänzend auf die Erwägungen in der angefochtenen Verfügung verwiesen werden.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Die Vorinstanz hat demnach den Wegweisungsvollzug zu Recht als zulässig, zumutbar und möglich erachtet. Die Anordnung der vorläufigen Aufnahme fällt damit ausser Betracht (Art. 83 Abs. 1 - 4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Antrag auf Anordnung eines Wegweisungsstopps wird bereits mit dem vorliegenden Entscheid in der Hauptsache gegenstandlos.</w:t>
      </w:r>
    </w:p>
    <w:p>
      <w:r>
        <w:rPr>
          <w:b/>
        </w:rPr>
        <w:t>E. 11.1</w:t>
      </w:r>
    </w:p>
    <w:p>
      <w:r>
        <w:t>Bei diesem Ausgang des Verfahrens sind die Kosten grundsätzlich dem Beschwerdeführer aufzuerlegen (Art. 63 Abs. 1 VwVG). Der mit Beschwerde gestellte Antrag auf Gewährung der unentgeltlichen Rechtspflege im Sinne von Art. 65 Abs. 1 VwVG ist ungeachtet der nachgewiesenen prozessualen Bedürftigkeit des Beschwerdeführers abzuweisen, weil die Begehren als aussichtslos zu bezeichnen sind. Damit fehlt es an einer der kumulativ zu erfüllenden Voraussetzungen. Demzufolge sind die Verfahrenskosten von Fr. 750.- (Art. 1-3 des Reglements vom 21. Februar 2008 über die Kosten und Entschädigungen vor dem Bundesverwaltungsgericht [VGKE, SR 173.320.2]) dem Beschwerdeführer aufzuerlegen.</w:t>
      </w:r>
    </w:p>
    <w:p>
      <w:r>
        <w:rPr>
          <w:b/>
        </w:rPr>
        <w:t>E. 11.2</w:t>
      </w:r>
    </w:p>
    <w:p>
      <w:r>
        <w:t>Das Gesuch um unentgeltliche Rechtsverbeiständung im Sinne von Art. 65 Abs. 2 VwVG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