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D-7186/2006 vom 6. Oktober 2008</w:t>
      </w:r>
    </w:p>
    <w:p>
      <w:r>
        <w:t>Bundesverwaltungsgericht, 2008-10-06, DE</w:t>
      </w:r>
    </w:p>
    <w:p>
      <w:r>
        <w:rPr>
          <w:b/>
        </w:rPr>
        <w:t xml:space="preserve">Quelle: </w:t>
      </w:r>
      <w:r>
        <w:t>https://mcp.opencaselaw.ch/entscheid/bvger_D-7186_2006</w:t>
      </w:r>
    </w:p>
    <w:p>
      <w:r>
        <w:t>FR: TAF D-7186/2006 du 6 octobre 2008</w:t>
      </w:r>
    </w:p>
    <w:p>
      <w:r>
        <w:t>IT: TAF D-7186/2006 del 6 ottobre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 das Bundesverwaltungsgericht entscheidet in diesem Bereich endgültig (Art. 105 AsylG; Art. 83 Bst. d Ziff. 1 des Bundesgerichtsgesetzes vom 17. Juni 2005 [BGG, SR 173.110]).</w:t>
      </w:r>
    </w:p>
    <w:p>
      <w:r>
        <w:rPr>
          <w:b/>
        </w:rPr>
        <w:t>E. 1.2</w:t>
      </w:r>
    </w:p>
    <w:p>
      <w:r>
        <w:t>Das Bundesverwaltungsgericht übernahm, sofern es sich als zuständig erachtete,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der Beschwerdeführer ist legitimiert (Art. 6 AsylG i.V.m. Art. 48 Abs. 1 sowie Art. 50 und 52 VwVG). Auf die Beschwerde ist mithin einzutreten.</w:t>
      </w:r>
    </w:p>
    <w:p>
      <w:r>
        <w:rPr>
          <w:b/>
        </w:rPr>
        <w:t>E. 2</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w:t>
      </w:r>
    </w:p>
    <w:p>
      <w:r>
        <w:t>Die Vorinstanz stellte fest, der Beschwerdeführer erfülle grundsätzlich die Flüchtlingseigenschaft, schloss ihn jedoch wegen seiner Tätigkeiten für die PKK in Anwendung von Art. 1F Bst. b FK von der Anwendung der Flüchtlingskonvention aus. Nachfolgend ist zu prüfen, ob dieser Ausschluss gerechtfertigt ist und ob sein Asylgesuch zu Recht abgelehnt wurde.</w:t>
      </w:r>
    </w:p>
    <w:p>
      <w:r>
        <w:rPr>
          <w:b/>
        </w:rPr>
        <w:t>E. 4.1</w:t>
      </w:r>
    </w:p>
    <w:p>
      <w:r>
        <w:t>Die Flüchtlingskonvention und das Asylgesetz unterscheiden sich bei der Behandlung von Personen, welche als unwürdig erachtet werden, den flüchtlingsrechtlichen Schutz zu geniessen (vgl. EMARK 1993 Nr. 8 S. 52). Die Flüchtlingskonvention geht in ihrer Dogmatik nicht von einer Asylgewährung aus, sondern statuiert Mindestrechte, insbesondere das Non-Refoulement-Gebot von Art. 33 FK, für diejenigen Personen, die ihrem Flüchtlingsbegriff (Art. 1 Ziff. 2 FK) entsprechen; wer wegen "Unwürdigkeit" des flüchtlingsrechtlichen Schutzes nicht teilhaben soll, wird gemäss Art. 1 F FK vom Flüchtlingsbegriff als solchem, mithin von der Anwendung der gesamten Konvention, ausgeschlossen (vgl. Walter Kälin, Grundriss des Asylverfahrens, Basel/Frankfurt a. M. 1990, S. 179). Demgegenüber unterscheidet das Asylgesetz zwischen der Anerkennung der Flüchtlingseigenschaft (Art. 3 AsylG) und der Gewährung von Asyl (Art. 2 Abs. 1 AsylG); die Asylunwürdigkeit im Sinne von Art. 53 AsylG schliesst eine Person von der Asylgewährung aus, lässt indessen keine Rückschlüsse auf ihre Flüchtlingseigenschaft zu (vgl. EMARK 1993 Nr. 8 S. 52; Kälin, a.a.O., S. 28, 164 ff., 179).</w:t>
      </w:r>
    </w:p>
    <w:p>
      <w:r>
        <w:rPr>
          <w:b/>
        </w:rPr>
        <w:t>E. 4.2</w:t>
      </w:r>
    </w:p>
    <w:p>
      <w:r>
        <w:t>Die Anwendung der Ausschlussklauseln der FK setzt nicht zwingend eine strafrechtliche Verurteilung voraus, weshalb in diesem Zusammenhang die Frage nach dem strafrechtlichen Verschulden irrelevant ist (siehe auch EMARK 1999 Nr. 12 E. 5b S. 90). Bei der Prüfung von Art. 1F FK ist ein herabgesetzter Beweismassstab anzusetzen, welcher nicht eine "überwiegende Wahrscheinlichkeit" im Sinne von Art. 7 Abs. 2 AsylG erfordert und schon gar nicht einen vollen Beweis (vgl. EMARK 1999 Nr. 12 E. 5b S. 90). Entsprechend dem Konventionstext müssen zumindest "ernsthafte Gründe" für die Annahme eines Ausschlusstatbestandes vorliegen (vgl. EMARK 1999 Nr. 12 E. 5b S. 90).</w:t>
      </w:r>
    </w:p>
    <w:p>
      <w:r>
        <w:rPr>
          <w:b/>
        </w:rPr>
        <w:t>E. 4.3</w:t>
      </w:r>
    </w:p>
    <w:p>
      <w:r>
        <w:t>Nach Prüfung der Akten gelangt das Bundesverwaltungsgericht vorliegend zum Schluss, dass die bestehende Beweislage weder ausreicht, um dem Beschwerdeführer die Beteiligung an Kriegsverbrechen im Sinne von Art. 1 F Bst. a FK (vgl. hinsichtlich einer Motivsubstitution Art. 62 Abs. 4 VwVG; Alfred Kölz/Isabelle Häner, Verwaltungsverfahren und Verwaltungsrechtspflege des Bundes, 2. Aufl., Zürich 1998, S. 240, Rz. 677) noch der Beteiligung an einem schweren nichtpolitischen Verbrechen ausserhalb des Aufnahmelandes im Sinne von Art. 1 F Bst. b FK vorzuhalten. Zu den Anhaltspunkten, welche unter dem Gesichtspunkt obiger Bestimmungen relevant sein könnten, ergibt sich Folgendes: Der Beschwerdeführer selber gibt an, lediglich als Kurier für die PKK tätig gewesen zu sein, und bestreitet die ihm von der Vorinstanz aufgrund des Abklärungsergebnisses der Schweizer Botschaft zur Last gelegten weitergehenden Aktivitäten. Er führte denn auch im Rahmen der ergänzenden Bundesanhörung zu den Gründen der Existenz der Datenblätter lediglich an, diese seien möglicherweise angelegt worden, weil eine verhaftete Person seinen Namen angegeben habe (vgl. BFF-Protokoll, S. 9). Weiter vermochte der Beschwerdeführer den diversen vorinstanzlichen Vorhalten bezüglich seiner persönlichen Glaubwürdigkeit und den von der Vorinstanz festgestellten widersprüchlichen Ausführungen auf Beschwerdeebene nichts Stichhaltiges entgegenzuhalten, weshalb das Bundesverwaltungsgericht die Einschätzung des Bundesamtes in dem Sinne teilt, als grundsätzlich Zweifel an der geltend gemachten Geringfügigkeit des Engagements des Beschwerdeführers für die PKK anzubringen sind. Jedoch kann sich das Bundesverwaltungsgericht der Schlussfolgerung des Bundesamtes, wonach aufgrund der dargelegten Zweifel an der behaupteten Geringfügigkeit des PKK-Engagements berechtigterweise davon ausgegangen werden könne, dass sich der Beschwerdeführer an den in den Datenblättern erwähnten Taten beziehungsweise Aktivitäten effektiv beteiligt habe, nicht anschliessen. Nach den dem Bundesverwaltungsgericht zur Verfügung stehenden Unterlagen zur Errichtung und Aufhebung eines Datenblattes ist nicht auszuschliessen, dass die in Frage stehenden Datenblätter auch aufgrund einer blossen Denunziation des Beschwerdeführers - wie dieser anlässlich der ergänzenden Anhörung vorbrachte - zustande gekommen sein könnten, dieser vom Gericht freigesprochen wurde und infolge seiner Ausreise keinen Antrag auf Aufhebung des Datenblattes bei der Polizei mehr einreichen konnte. Entscheidend ist in diesem Zusammenhang jedoch, dass bereits die Vorinstanz in ihrer Verfügung gestützt auf die Abklärungsergebnisse der Schweizer Vertretung zum Schluss kam, dass - da der Beschwerdeführer gegen ihn eingeleitete Gerichtsverfahren bestritten habe - weitere Abklärungen nicht möglich seien, da jegliche Angaben zu den betreffenden Gerichten oder Gerichtsorten fehlen würden. Somit sei eine Prüfung, ob die den Datenblättern zu Grunde liegenden Verfahren formell und materiell korrekt durchgeführt worden seien, nicht durchführbar. Es kann daher aufgrund der bestehenden Aktenlage nicht überprüft werden, wie die in den Botschaftsabklärungen ausgewiesenen Datenblätter zu Stande gekommen sind. Insgesamt erscheinen die Indizien (Bestehen von vier Datenblättern; unglaubhafte Sachverhaltsvorbringen; Unglaubwürdigkeit der Person des Beschwerdeführers), welche für eine Beteiligung des Beschwerdeführers an völkerrechtswidrigen Handlungen sprechen, als nicht ausreichend, um dem von Art. 1 F FK geforderten Beweismassstab zu genügen. Allein die angeführte und nicht bestrittene Mitgliedschaft zur PKK und die für diese Organisation getätigten Kurierdienste reichen dazu jedenfalls nicht aus (vgl. auch nachfolgend E. 5.4). Zudem ist davon auszugehen, dass weitergehende Untersuchungsmassnahmen zu keinen neuen Erkenntnissen zu führen vermöchten. So müssten sich diese, da eine erneute Anfrage an die Schweizer Vertretung gemäss obigen Ausführungen als sinnlos zu erachten ist, auf eine blosse erneute Befragung des Beschwerdeführers beschränken. Angesichts der Tatsache, dass der Beschwerdeführer im Verlaufe seines Asylverfahrens bereits drei Mal angehört wurde und anlässlich der ergänzenden Anhörung wiederholt die ihm vorgehaltenen Delikte respektive den Inhalt der fraglichen Datenblätter vollumfänglich bestritt, ist von seiner Seite keine Klärung des Sachverhaltes mehr zu erwarten.</w:t>
      </w:r>
    </w:p>
    <w:p>
      <w:r>
        <w:rPr>
          <w:b/>
        </w:rPr>
        <w:t>E. 4.4</w:t>
      </w:r>
    </w:p>
    <w:p>
      <w:r>
        <w:t>Zusammenfassend ist festzuhalten, das trotz einiger Zweifel an der Glaubwürdigkeit des Beschwerdeführers noch keine "ernsthaften Gründe" für den Verdacht bestehen, dass er sich eines Kriegsverbrechens im Sinne von Art. 1 F Bst. a FK oder der Beteiligung an einem schweren nichtpolitischen Verbrechens ausserhalb des Aufnahmelandes im Sinne von Art. 1 F Bst. b FK schuldig gemacht hat. Das BFF hat den Beschwerdeführer demnach zu Unrecht von der Flüchtlingseigenschaft ausgeschlossen.</w:t>
      </w:r>
    </w:p>
    <w:p>
      <w:r>
        <w:rPr>
          <w:b/>
        </w:rPr>
        <w:t>E. 5.1</w:t>
      </w:r>
    </w:p>
    <w:p>
      <w:r>
        <w:t>Da feststeht, dass der Beschwerdeführer die Flüchtlingseigenschaft erfüllt, bleibt im Folgenden das Vorliegen allfälliger Asylausschlussgründe zu prüfen.</w:t>
      </w:r>
    </w:p>
    <w:p>
      <w:r>
        <w:rPr>
          <w:b/>
        </w:rPr>
        <w:t>E. 5.2</w:t>
      </w:r>
    </w:p>
    <w:p>
      <w:r>
        <w:t>Gemäss Art. 2 Abs. 1 AsylG gewährt die Schweiz Flüchtlingen grundsätzlich Asyl. Gestützt auf Art. 53 AsylG wird Flüchtlingen kein Asyl gewährt, wenn sie wegen verflicher Handlungen dessen unwürdig sind oder wenn sie die innere oder die äussere Sicherheit der Schweiz verletzt haben oder gefährden. Die Asylunwürdigkeit im Sinne von Art. 53 AsylG schliesst eine Person von der Asylgewährung aus, lässt indessen keine Rückschlüsse auf ihre Flüchtlingseigenschaft zu (vgl. EMARK 1993 Nr. 8 S. 52; Kälin, a.a.O., S. 28, 164 ff., S. 179).</w:t>
      </w:r>
    </w:p>
    <w:p>
      <w:r>
        <w:rPr>
          <w:b/>
        </w:rPr>
        <w:t>E. 5.3</w:t>
      </w:r>
    </w:p>
    <w:p>
      <w:r>
        <w:t>Nach Lehre und konstanter Praxis (vgl. EMARK 2003 Nr. 11 E. 7 S. 75, mit weiteren Hinweisen) werden als "verwerfliche Handlungen", welche die Asylunwürdigkeit gemäss Art. 53 AsylG nach sich ziehen, diejenigen Delikte aufgefasst, deren Begehung gemäss dem bis 31. Dezember 2006 geltenden Art. 9 des Schweizerischen Strafgesetzbuchs vom 21. Dezember 1937 (StGB, SR 311.0) mit einer "Zuchthausstrafe" bedroht wurde und die daher als "Verbrechen" galten (vgl. Botschaft zur Totalrevision des Asylgesetzes sowie zur Änderung des Bundesgesetzes über Aufenthalt und Niederlassung der Ausländer vom 4. Dezember 1995, hiernach: Botschaft 1995, BBl 1996 II 72; zur aktuellen Definition der Begriffe "Verbrechen" und "Vergehen" siehe Art. 10 Abs. 2 StGB in der Fassung gemäss Ziff. I des Gesetzes vom 13. Dezember 2002, in Kraft seit 1. Januar 2007; zu den Voraussetzungen zur Annahme einer auf Art. 53 AsylG gestützten Asylunwürdigkeit vgl. die weiterhin zutreffende Rechtsprechung der ARK in EMARK 2002 Nr. 9, 1998 Nr. 12 und 28, 1996 Nr. 18 E. 5 ff., 1993 Nr. 8 E. 6a). Als "verwerfliche Handlungen", welche die Asylunwürdigkeit nach sich ziehen, werden entsprechend dem Wortlaut von Art. 53 AsylG auch weniger gravierende Delikte aufgefasst, die nicht ein "schweres Verbrechen" im Sinne von Art. 1 F Bst. b FK darstellen würden, solange sie dem abstrakten Verbrechensbegriff entsprechen. Diese Ordnung wurde vom Gesetzgeber mit der Totalrevision des Asylgesetzes bewusst übernommen (vgl. Botschaft 1995, BBl 1996 II 71 ff.). Irrelevant ist, ob die verwerflichen Handlungen einen ausschliesslich gemeinrechtlichen Charakter haben oder als politisches Delikt einzustufen sind (EMARK 2002 Nr. 9 E. 7b S. 79 f.). Das anzusetzende Beweismass wurde in der Botschaft - mit Bezug auf im Ausland begangene Straftaten - für Art. 1 F FK und Art. 53 AsylG übereinstimmend umschrieben (vgl. Botschaft 1995, BBl 1996 II 73 oben). Bei der Prüfung der Frage, ob eine Person gestützt auf Art. 53 AsylG vom Asyl auszuschliessen ist, muss auf deren individuellen Tatbeitrag abgestellt werden. Zu diesem sind nicht nur die Schwere der Tat und der persönliche Anteil am Tatentscheid, sondern ebenso das Motiv des Täters und allfällige Rechtfertigungs- oder Schuldmilderungsgründe zu zählen.</w:t>
      </w:r>
    </w:p>
    <w:p>
      <w:r>
        <w:rPr>
          <w:b/>
        </w:rPr>
        <w:t>E. 5.4</w:t>
      </w:r>
    </w:p>
    <w:p>
      <w:r>
        <w:t>Vorliegend wurde in E. 3.3 festgehalten, dass hinsichtlich des Beschwerdeführers die Indizien (Bestehen von vier Datenblättern; unglaubhafte Sachverhaltsvorbringen; Unglaubwürdigkeit der Person des Beschwerdeführers), welche für eine Beteiligung des Beschwerdeführers an völkerrechtswidrigen Handlungen sprechen, als nicht ausreichend erscheinen, um dem von Art. 1 F FK geforderten Beweismassstab zu genügen. Dementsprechend liegen ebenso unzureichende Indizien dafür vor, dass der Beschwerdeführer allenfalls ein als "verwerfliche Handlung" zu qualifizierendes Delikt im obigen Sinne begangen haben könnte, zumal das zu beachtende Beweismass für Art. 1 F FK und Art. 53 AsylG übereinstimmend umschrieben wurde (vgl. Botschaft 1995, BBl 1996 II 73 oben). Aufgrund der gesamten vorliegenden Akten und Umstände sowie in Berücksichtigung der Praxis (vgl. EMARK 2002 Nr. 9) ist überdies zu verneinen, dass die vom Beschwerdeführer vorgebrachten Aktivitäten (Kurierdienste für die PKK) für sich alleine genommen eine verwerfliche Handlung im Sinne von Art. 53 AsylG darstellen. Darüber hinaus wird die PKK in Fortführung der konstanten Rechtsprechung der ARK auch vom Bundesverwaltungsgericht nicht als kriminelle Organisation im Sinne von Art. 260ter StGB betrachtet. Die PKK-Mitgliedschaft für sich alleine stellt denn auch keine verwerfliche Handlung im Sinne von Art. 53 AsylG dar (EMARK 2002 Nr. 9 E. 7c S. 80 f.). Weitere, von der Vorinstanz angenommene Handlungen, insbesondere gewalttätige Aktionen, können dem Beschwerdeführer nicht rechtsgenüglich nachgewiesen werden. Nach dem Gesagten bestehen aufgrund der Aktenlage keine hinreichend konkreten Anhaltspunkte für das Vorliegen verwerflicher Handlungen gemäss Art. 53 AsylG oder für eine Gefährdung der Staatssicherheit der Schweiz. Es ist im Übrigen darauf hinzuweisen, dass die Bundespolizei nicht Asylbehörde ist und ihren Stellungnahmen bloss empfehlender Charakter zukommen kann (vgl. EMARK 1998 Nr. 12 E. 6b). Wenn die Bundespolizei vorliegend in ihrer Stellungnahme vom 17. Juli 2000 ein - wie auch immer berechtigtes - Interesse an Fernhaltemassnahmen kundtut, handelt es sich um eine polizeiliche beziehungsweise allenfalls staatsschutzrelevante Aussage, die im Asylverfahren der rechtlichen Würdigung unter dem Aspekt der Asylwürdigkeit bedarf.</w:t>
      </w:r>
    </w:p>
    <w:p>
      <w:r>
        <w:rPr>
          <w:b/>
        </w:rPr>
        <w:t>E. 5.5</w:t>
      </w:r>
    </w:p>
    <w:p>
      <w:r>
        <w:t>Bei dieser Sachlage und in Würdigung der gesamten Akten und Umstände ist zusammenfassend festzustellen, dass die Vorinstanz in Verletzung von Bundesrecht den Beschwerdeführer von der Flüchtlingseigenschaft ausgeschlossen und das Asylgesuch abgelehnt hat.</w:t>
      </w:r>
    </w:p>
    <w:p>
      <w:r>
        <w:rPr>
          <w:b/>
        </w:rPr>
        <w:t>E. 6</w:t>
      </w:r>
    </w:p>
    <w:p>
      <w:r>
        <w:t>Die angefochtene Verfügung vom 3. Oktober 2001 ist daher aufzuheben und das BFM ist anzuweisen, dem Beschwerdeführer aufgrund seiner Flüchtlingseigenschaft Asyl zu gewähren. In Anbetracht dieses Verfahrensergebnisses sind die mit Eingabe vom 23. September 2008 gestellten Anträge des neu mandatierten Rechtsvertreters (vgl. Bst. H) abzuweisen beziehungsweise erweisen sich diese als gegenstandslos.</w:t>
      </w:r>
    </w:p>
    <w:p>
      <w:r>
        <w:rPr>
          <w:b/>
        </w:rPr>
        <w:t>E. 7.1</w:t>
      </w:r>
    </w:p>
    <w:p>
      <w:r>
        <w:t>Bei diesem Ausgang des Verfahrens sind dem Beschwerdeführer keine Kosten aufzuerlegen. Der am 26. November 2001 geleistete Kostenvorschuss in der Höhe von Fr. 600.-- ist zurückzuerstatten.</w:t>
      </w:r>
    </w:p>
    <w:p>
      <w:r>
        <w:rPr>
          <w:b/>
        </w:rPr>
        <w:t>E. 7.2</w:t>
      </w:r>
    </w:p>
    <w:p>
      <w:r>
        <w:t>Der obsiegenden Partei ist für die ihr erwachsenen notwendigen Kosten eine Parteientschädigung auszurichten (Art. 64 Abs. 1 VwVG, Art. 7 des Reglements vom 21. Februar 2008 über die Kosten und Entschädigungen vor dem Bundesverwaltungsgericht [VGKE, SR 173.320.2]). Der bisherige Rechtsvertreter des Beschwerdeführers reichte keine Kostennote zu den Akten. Da sich der notwendige Vertretungsaufwand aufgrund der Aktenlage hinreichend und zuverlässig abschätzen lässt, ist die von der Vorinstanz auszurichtende Parteientschädigung unter Berücksichtigung der massgebenden Berechnungsfaktoren von Amtes wegen auf Fr. 800.-- festzusetzen (vgl.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