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D-7179/2023 vom 8. Januar 2024</w:t>
      </w:r>
    </w:p>
    <w:p>
      <w:r>
        <w:t>Bundesverwaltungsgericht, 2024-01-08, DE</w:t>
      </w:r>
    </w:p>
    <w:p>
      <w:r>
        <w:rPr>
          <w:b/>
        </w:rPr>
        <w:t xml:space="preserve">Quelle: </w:t>
      </w:r>
      <w:r>
        <w:t>https://mcp.opencaselaw.ch/entscheid/bvger_D-7179_2023</w:t>
      </w:r>
    </w:p>
    <w:p>
      <w:r>
        <w:t>FR: TAF D-7179/2023 du 8 janvier 2024</w:t>
      </w:r>
    </w:p>
    <w:p>
      <w:r>
        <w:t>IT: TAF D-7179/2023 del 8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Der Beschwerdeentscheid ist nur summarisch zu begründen (Art. 111a Abs. 2 AsylG) und auf einen Schriftenwechsel wurde in Anwendung von Art. 111a Abs. 1 AsylG verzichtet.</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In der Beschwerde werden formelle Rügen erhoben, welche vorab zu beurteilen sind, da sie gegebenenfalls geeignet sind, eine Kassation der vor-instanzlichen Verfügung zu bewirken (Beschwerde, Ziff. II./a). Der Beschwerdeführer wirft der Vorinstanz vor, sie habe den Sachverhalt falsch festgestellt, sei ihren Untersuchungspflichten ungenügend nachgekommen, habe die Begründungspflicht und seinen Anspruch auf rechtliches Gehör verletzt. So habe sie gemäss öffentlichen Internetquellen die Lage in Bulgarien falsch beurteilt sowie die individuelle Situation des Beschwerdeführers (Stand des Asylverfahrens in Bulgarien) nicht abgeklärt. Gemäss diversen öffentlichen Quellen sei auf systemische Mängel in Bulgarien zu schliessen (Schweizerische Flüchtlingshilfe [SFH]; AIDA Country Report; Pressebericht auf europa.eu). Zudem scheine die Vorinstanz aufgrund der medizinischen Unterlagen nicht zu glauben, dass die bulgarische Polizei dem Beschwerdeführer die Hand gebrochen habe, obwohl die Arztberichte vom 17. Oktober 2023 und 24. Oktober 2023 die Glaubhaftigkeit des Handbruchs untermauere (Schwellung und Röntgen der rechten Hand; verordnete Physiotherapie; Beschwerdebeilagen 3 und 4; A27/2). Im Weiteren habe die Vorinstanz trotz der Hinweise des Beschwerdeführers im Dublingespräch (psychische Beeinträchtigung) und trotz Antrages der Rechtsvertretung keine genügenden medizinischen Abklärungen vorgenommen. Diese Rügen erweisen sich als unbegründet. Das SEM hat sich in der angefochtenen Verfügung mit hinreichender Begründung mit den entscheidwesentlichen Sachverhaltselementen und den im vorinstanzlichen Verfahren vorgebrachten Argumenten und Anträgen des Beschwerdeführers auseinandergesetzt. Die Rüge betreffend die Auseinandersetzung mit der Glaubhaftigkeit der Angaben des Beschwerdeführers über das in Bulgarien Erlebte stehen im Zusammenhang mit dem hauptsächlichen Vorbringen, dass Bulgarien systemische Mängel in der Behandlung von Asylsuchenden aufweise. Es kann diesbezüglich auf nachstehende Erwägungen (E.) 6.2 verwiesen werden. Im Übrigen durfte die Vorinstanz - wie nachfolgend zu sehen sein wird - eine vertiefte Glaubhaftigkeitsprüfung unterlassen, soweit der Beschwerdeführer mit entsprechender Rüge ebenso eine Verletzung des rechtlichen Gehörs vorbringt. Was die formelle Rüge wegen nicht erfolgter weiterer medizinischer Abklärungen anbelangt, so erübrigt sich aufgrund nachstehender Erwägungen, insbesondere zur staatsvertraglichen Zuständigkeit Bulgariens (E. 6.1), eine diesbezügliche Auseinandersetzung. Das Eventualbegehren um Rückweisung der Sache zur weiteren Sachverhaltsabklärung an die Vorinstanz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(Art. 8-15 Dublin-III-VO) statt (vgl. zum Ganzen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Ein Abgleich der Fingerabdrücke des Beschwerdeführers mit der "Eurodac"-Datenbank ergab, dass er am 29. August 2023 in Bulgarien ein Asylgesuch eingereicht hatte. Das SEM ersuchte deshalb gestützt auf Art. 18 Abs. 1 Bst. b Dublin-III-VO die bulgarischen Behörden am 9. November 2023 um Wiederaufnahme des Beschwerdeführers. Die bulgarischen Behörden stimmten dem Gesuch um Rückübernahme am 13. November 2023 zu. Der Einwand des Beschwerdeführers, ihm seien in Bulgarien die Fingerabdrücke gewaltsam abgenommen worden und er habe kein Asylgesuch stellen wollen, ist eine blosse Schutzbehauptung, wobei dessen ungeachtet seine unbestrittene Einreise in das Hoheitsgebiet des Dublin-Staates die Zuständigkeit Bulgariens für die Durchführung des Asyl- und Wegweisungsverfahrens begründet (Art. 18 Abs. 1 Bst. a Dublin-III-VO). Damit steht die staatsvertragliche Zuständigkeit Bulgariens grundsätzlich fest.</w:t>
      </w:r>
    </w:p>
    <w:p>
      <w:r>
        <w:rPr>
          <w:b/>
        </w:rPr>
        <w:t>E. 6.2</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Das Bundesverwaltungsgericht hat sich - wie vom Beschwerdeführer zutreffend genannt -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Für eine Änderung der Rechtsprechung besteht auch in Würdigung der vom Beschwerdeführer gemachten Äusserungen zu seiner Behandlung in Bulgarien - unabhängig von deren Glaubhaftigkeit - wie auch des Hinweises auf öffentliche Quellen keine Veranlassung. Folglich ist die Anwendung von Art. 3 Abs. 2 Dublin-III-VO nicht gerechtfertigt (vgl. dazu auch BVGer Urteile D-6682/2023 vom 22. Dezember 2023 und D-6106/2023 vom 16. November 2023).</w:t>
      </w:r>
    </w:p>
    <w:p>
      <w:r>
        <w:rPr>
          <w:b/>
        </w:rPr>
        <w:t>E. 7.1</w:t>
      </w:r>
    </w:p>
    <w:p>
      <w:r>
        <w:t>Hinsichtlich der Prüfung von völkerrechtlichen Überstellungshindernissen ist zunächst festzuhalten, dass der Beschwerdeführer in Bezug auf die Zustände in Bulgarien nicht darzutun vermag, dass die ihn bei einer Rückführung zu erwartenden Bedingungen derart schlecht wären, dass sie zu einer Verletzung von Art. 4 der EU-Grundrechtecharta beziehungsweise Art. 3 EMRK oder Art. 7 UN-Pakt II führen könnten. Bei einer allfälligen vorübergehenden Einschränkung der ihm zustehenden Aufnahmebedingungen ist er gehalten, sich - wie die Vorinstanz zutreffend festhielt - nötigenfalls an die bulgarischen Behörden zu wenden und seine Rechte auf dem Rechtsweg einzufordern (vgl. Art. 26 der Richtlinie des Europäischen Parlaments und des Rates 2013/33/EU vom 26. Juni 2013 zur Festlegung von Normen für die Aufnahme von Personen, die internationalen Schutz beantragen [Aufnahmerichtlinie]). Dies gilt auch in Bezug auf die geltend gemachte (Polizei-) Gewalt. Der Beschwerdeführer hat - wie bereits von der Vorinstanz zutreffend festgehalten - keine Beweise für eine Zuwiderhandlung gegen die Aufnahmerichtlinie vorgelegt. Die vom Beschwerdeführer geschilderten (mutmasslichen) Gewaltvorfälle sind als Missbrauch einzelner Beamter zu betrachten, welche aufgrund der Möglichkeit, gegen dieses fehlbare Verhalten rechtlich vorzugehen, nicht dem bulgarischen Staat anzulasten sind.</w:t>
      </w:r>
    </w:p>
    <w:p>
      <w:r>
        <w:rPr>
          <w:b/>
        </w:rPr>
        <w:t>E. 7.2</w:t>
      </w:r>
    </w:p>
    <w:p>
      <w:r>
        <w:t>Des Weiteren liegen keine konkreten Anhaltspunkte vor, wonach die Gesundheit des Beschwerdeführers bei einer Überstellung nach Bulgarien ernsthaft gefährdet würde (Schmerzen in der rechten Hand: Beschwerdebeilage 3 und 4, A27/2; schlechter Schlaf, Albträume, negative Erlebnisse: A25/2). Gemäss den vorinstanzlichen Akten wurde der Gesuchsteller seit dem 17. Oktober 2023 nicht mehr beim Gesundheitsdienst vorstellig und es liegen keine medizinischen Dokumente zur (angeblich) gebrochenen Nase vor. Auf Beschwerdeebene wurden weder neue Beweismittel noch eine (massgebliche) Veränderung des Gesundheitszustandes vorgebracht. Es ist dem Beschwerdeführer zuzumuten, allfällig nötige medizinische Behandlungen - gegebenenfalls auch auf dem Rechtsweg - in Bulgarien einzufordern. Diesbezüglich ist darauf aufmerksam zu machen,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deutet nichts darauf hin, dass dem Beschwerdeführer bei einer Rückkehr nach Bulgarien eine Verletzung von Art. 3 EMRK aus medizinischen Gründen drohen würde. Im Sinne seiner geäusserten Suizidgedanken im Zusammenhang mit einer Rückkehr nach Bulgarien ist auf die Möglichkeit, bei Bedarf einen Antrag auf Gewährung medizinischer Rückkehrhilfe zu stellen (vgl. Art. 93 Abs. 1 Bst. d AsylG), hinzuweisen. Demnach ist die Überstellung des Beschwerdeführers nach Bulgarien als zulässig zu erachten.</w:t>
      </w:r>
    </w:p>
    <w:p>
      <w:r>
        <w:rPr>
          <w:b/>
        </w:rPr>
        <w:t>E. 7.3</w:t>
      </w:r>
    </w:p>
    <w:p>
      <w:r>
        <w:t>Zusammenfassend ist festzuhalten, dass kein Grund für die Anwendung der Souveränitätsklausel von Art. 17 Dublin-III-VO und Art. 29a Abs. 3 AsylV 1 vorliegt, zumal - auch unter Berücksichtigung allfälliger suizidaler Tendenzen im Hinblick auf eine Rückkehr nach Bulgarien - keine völkerrechtlichen Überstellungshindernisse bestehen, die die Schweiz zum Selbsteintritt verpflichten würden, und, soweit die Vorinstanz über Ermessen verfügt, keine Rechtsfehler bei der Ermessensbetätigung ersichtlich sind.</w:t>
      </w:r>
    </w:p>
    <w:p>
      <w:r>
        <w:rPr>
          <w:b/>
        </w:rPr>
        <w:t>E. 8</w:t>
      </w:r>
    </w:p>
    <w:p>
      <w:r>
        <w:t>Nach dem Gesagten besteht auch kein Anlass zur Einholung individueller Zusicherungen (adäquate Unterbringung und Verpflegung, fachärztliche Behandlung). Der Subeventualantrag auf Einholung individueller Garantien ist daher abzuweisen.</w:t>
      </w:r>
    </w:p>
    <w:p>
      <w:r>
        <w:rPr>
          <w:b/>
        </w:rPr>
        <w:t>E. 9</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Das Beschwerdeverfahren ist mit vorliegendem Urteil abgeschlossen, weshalb sich die Anträge auf Gewährung der aufschiebenden Wirkung sowie Verzicht auf die Erhebung eines Kostenvorschusses als gegenstandslos erweisen.</w:t>
      </w:r>
    </w:p>
    <w:p>
      <w:r>
        <w:rPr>
          <w:b/>
        </w:rPr>
        <w:t>E. 11.2</w:t>
      </w:r>
    </w:p>
    <w:p>
      <w:r>
        <w:t>Der am 27. Dezember 2023 angeordnete Vollzugsstopp fällt mit vorliegendem Urteil dahin.</w:t>
      </w:r>
    </w:p>
    <w:p>
      <w:r>
        <w:rPr>
          <w:b/>
        </w:rPr>
        <w:t>E. 12</w:t>
      </w:r>
    </w:p>
    <w:p>
      <w:r>
        <w:t>Das Gesuch um Gewährung der unentgeltlichen Prozessführung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