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D-7176/2006 vom 19. Oktober 2009</w:t>
      </w:r>
    </w:p>
    <w:p>
      <w:r>
        <w:t>Bundesverwaltungsgericht, 2009-10-19, DE</w:t>
      </w:r>
    </w:p>
    <w:p>
      <w:r>
        <w:rPr>
          <w:b/>
        </w:rPr>
        <w:t xml:space="preserve">Quelle: </w:t>
      </w:r>
      <w:r>
        <w:t>https://mcp.opencaselaw.ch/entscheid/bvger_D-7176_2006</w:t>
      </w:r>
    </w:p>
    <w:p>
      <w:r>
        <w:t>FR: TAF D-7176/2006 du 19 octobre 2009</w:t>
      </w:r>
    </w:p>
    <w:p>
      <w:r>
        <w:t>IT: TAF D-7176/2006 del 19 ottobre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Gegenstand der angefochtenen Verfügung vom 15. März 2001 ist die Aufhebung der vorläufigen Aufnahme und die Anordnung des Vollzugs der Wegweisung. Soweit der Beschwerdeführer mit Eingabe vom 12. März 2002 die Anerkennung als Flüchtling und somit mehr als im vorinstanzlichen Verfahren begehrt, ist dies als unzulässige Erweiterung des Streitgegenstandes (siehe in diesem Zusammenhang Alfred Kölz/Isabelle Häner, Verwaltungsverfahren und Verwaltungsrechtspflege des Bundes, 2. Aufl., Zürich 1998, Rz. 612, S. 219, Rz. 405, S. 149) zu bezeichnen, weshalb darauf nicht einzutreten ist; die entsprechende Begründung in den Eingaben vom 12. März 2002 und 21. Juli 2006 ist deshalb für das vorliegende Verfahren unbeachtlich. Es bestehen somit keine prozessual zulässigen Anträge bezüglich einer Anerkennung des Beschwerdeführers als Flüchtling. Folglich liegt auch kein neues Asylgesuch im Sinne von EMARK 1998 Nr. 1 vor, weshalb im vorliegenden Verfahren das Eintreten sich auf die Frage der Aufhebung der vorläufigen Aufnahme und des Wegweisungsvollzugs beschränkt. Auf die frist- und formgerecht eingereichte Beschwerde ist - im Rahmen des Gesagten - einzutreten (Art. 112 Abs. 1 AuG i.V.m. Art. 48, 50 und 52 VwVG).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Am 1. Januar 2008 ist das Bundesgesetz vom 16. Dezember 2005 über die Ausländerinnen und Ausländer (AuG, SR 142.20) in Kraft getreten; gleichzeitig ist das ANAG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vom BFM mit Verfügung vom 6. April 1993 gestützt auf Art. 18 Abs. 1 AsylG in der Fassung vom 5. Oktober 1979 (AS 1980 1718) i.V.m. Art. 14a ANAG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Behörden oder des Bundesamtes für Polizei kann das BFM die vorläufige Aufnahme wegen Unzumutbarkeit oder Unmöglichkeit des Vollzuges aufheben und den Vollzug der Wegweisung anordnen, wenn Gründe nach Art. 83 Abs. 7 AuG gegeben sind (vgl. Art. 84 Abs. 3 AuG). Laut Art. 83 Abs. 7 AuG wird die vorläufige Aufnahme unter anderem nicht verfügt, wenn die weggewiesene Person zu einer längerfristigen Freiheitsstrafe im In- oder Ausland verurteilt wurde oder wenn gegen sie eine strafrechtliche Massnahme im Sinne von Art. 64 oder 61 StGB angeordnet wurde, sie erheblich oder wiederholt gegen die öffentliche Sicherheit und Ordnung in der Schweiz oder im Ausland verstossen hat oder diese gefährdet oder die innere oder äussere Sicherheit gefährdet.</w:t>
      </w:r>
    </w:p>
    <w:p>
      <w:r>
        <w:rPr>
          <w:b/>
        </w:rPr>
        <w:t>E. 3.3</w:t>
      </w:r>
    </w:p>
    <w:p>
      <w:r>
        <w:t>Gegenstand des vorliegenden Beschwerdeverfahrens bildet somit die Frage, ob die verfügte vorläufige Aufnahme infolge der deliktischen Tätigkeit des Beschwerdeführers in Anwendung von Art. 84 Abs. 3 AuG in Verbindung mit Art. 83 Abs. 7 AuG aufzuheben ist.</w:t>
      </w:r>
    </w:p>
    <w:p>
      <w:r>
        <w:rPr>
          <w:b/>
        </w:rPr>
        <w:t>E. 3.4</w:t>
      </w:r>
    </w:p>
    <w:p>
      <w:r>
        <w:t>Gemäss der am vormaligen Art. 14a Abs. 6 ANAG entwickelten und heute noch geltenden Praxis setzt die Anwendung der Ausschlussklausel von Art. 83 Abs. 7 AuG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EMARK 2004 Nr. 39 E. 5.3 und 2006 Nr. 11 E. 4 ff., BVGE 2007/32 E. 3.7 S. 390 ff.).</w:t>
      </w:r>
    </w:p>
    <w:p>
      <w:r>
        <w:rPr>
          <w:b/>
        </w:rPr>
        <w:t>E. 4.1</w:t>
      </w:r>
    </w:p>
    <w:p>
      <w:r>
        <w:t>Der Beschwerdeführer wurde mit Verfügung des Bundesamtes vom 6. April 1993 wegen Unzumutbarkeit des Vollzugs in der Schweiz vorläufig aufgenommen, weil er Angehöriger der E._______ Glaubensgemeinschaft ist.</w:t>
      </w:r>
    </w:p>
    <w:p>
      <w:r>
        <w:rPr>
          <w:b/>
        </w:rPr>
        <w:t>E. 4.2</w:t>
      </w:r>
    </w:p>
    <w:p>
      <w:r>
        <w:t>Am 25. Mai 2001 kam es in der Diskothek P._______ in M._______, Kanton O._______, anlässlich einer Musikveranstaltung der {....} zu {....} zwischen mehrheitlich türkischen Staatsangehörigen. Aufgrund dieses Vorfalls wurde der Beschwerdeführer mit Urteil des Bezirksgerichts O._______ vom 13. April 2004 der {....}, der {....} sowie der {....} schuldig gesprochen. Demgegenüber wurde er des {....} und des {....} gemäss Anklageschrift als nicht schuldig erklärt und diesbezüglich freigesprochen. Dieses Urteil ist in Rechtskraft erwachsen. Es steht deshalb fest, dass der Beschwerdeführer im Sinne von Art. 83 Abs. 7 AuG die öffentliche Sicherheit und Ordnung verletzt hat.</w:t>
      </w:r>
    </w:p>
    <w:p>
      <w:r>
        <w:rPr>
          <w:b/>
        </w:rPr>
        <w:t>E. 4.3</w:t>
      </w:r>
    </w:p>
    <w:p>
      <w:r>
        <w:t>Ausgangspunkt und Massstab für die Beurteilung der Schwere des Verschuldens und folglich für die ausländerrechtliche Interessenabwägung ist die vom Strafrichter verhängte Strafe (vgl. BGE 129 II 215 E. 3.1 S. 216).</w:t>
      </w:r>
    </w:p>
    <w:p>
      <w:r>
        <w:rPr>
          <w:b/>
        </w:rPr>
        <w:t>E. 4.3.1</w:t>
      </w:r>
    </w:p>
    <w:p>
      <w:r>
        <w:t>Aus dem Urteil des Bezirksgerichts O._______ vom 13. April 2004 (Urteil S. 106 ff.) ergibt sich, dass das Verschulden des Beschwerdeführers bezüglich der {....} als erheblich zu qualifizieren ist. Obwohl er zum Zeitpunkt der {....}, führt das Bezirksgericht O._______ aus, {Erwägungen}.</w:t>
      </w:r>
    </w:p>
    <w:p>
      <w:r>
        <w:rPr>
          <w:b/>
        </w:rPr>
        <w:t>E. 4.3.2</w:t>
      </w:r>
    </w:p>
    <w:p>
      <w:r>
        <w:t>In Bezug auf den Tatbestand der {....} gelte es nach Ansicht des Bezirksgerichts O._______ zu beachten, dass der Beschwerdeführer {Erwägungen}.</w:t>
      </w:r>
    </w:p>
    <w:p>
      <w:r>
        <w:rPr>
          <w:b/>
        </w:rPr>
        <w:t>E. 4.3.3</w:t>
      </w:r>
    </w:p>
    <w:p>
      <w:r>
        <w:t>Schliesslich wiege, führt das Bezirksgericht aus, das Verschulden des Beschwerdeführers in Bezug auf das {....} ebenfalls nicht mehr leicht, habe er doch die {Erwägungen}.</w:t>
      </w:r>
    </w:p>
    <w:p>
      <w:r>
        <w:rPr>
          <w:b/>
        </w:rPr>
        <w:t>E. 4.3.4</w:t>
      </w:r>
    </w:p>
    <w:p>
      <w:r>
        <w:t>Zur Strafzumessung führte das Bezirksgericht O._______ weiter aus (Urteil S. 108), dass {Erwägungen}. Die Vorstrafen des Beschwerdeführers hätten den Angeklagten jedoch offensichtlich nicht nachhaltig beeindrucken können, habe er doch während laufender Probezeit und laufendem Untersuchungsverfahren, erneut delinquiert. In Bezug auf die begangene {....} sei er sogar trotz der früheren Verurteilung erneut auf gleichem Gebiet straffällig geworden. In Anbetracht der erwähnten Umstände erscheine das Stellen einer guten Prognose für das künftige Wohlverhalten des Beschwerdeführers eher als fragwürdig. Immerhin sei zu seinen Gunsten zu berücksichtigen, dass seit den Taten bereits Q._______ Jahre verstrichen seien und er in dieser Zeit nicht mehr straffällig geworden sei. Weiter sei in diesem Zusammenhang auch die voraussichtliche Wirkung des Vollzuges einer allfällig zu widerrufenden Freiheitsstrafe zu berücksichtigen (BGE 100 IV 196). Die mit Strafbefehlen der Bezirksanwaltschaft F._______ vom 11. Juni 1997 und des Bezirksamtes G._______ vom 3. November 1997 bedingt ausgesprochenen Freiheitsstrafen von {....} seien zu widerrufen. Es sei davon auszugehen, dass der Beschwerdeführer insbesondere durch die Verbüssung dieser Strafe, daneben aber auch durch die auszusprechende bedingte Freiheitsstrafe von {....} sowie die erstandene Untersuchungshaft von {....} genügend beeindruckt werde, um in Zukunft nicht mehr straffällig zu werden. Der Vollzug der Freiheitsstrafe sei daher aufzuschieben. Den verbleibenden Bedenken sei durch die Ansetzung einer Probezeit von {....} Rechnung zu tragen.</w:t>
      </w:r>
    </w:p>
    <w:p>
      <w:r>
        <w:rPr>
          <w:b/>
        </w:rPr>
        <w:t>E. 4.4</w:t>
      </w:r>
    </w:p>
    <w:p>
      <w:r>
        <w:t>Zu den persönlichen Verhältnissen des Beschwerdeführers führte das Bezirksgericht O._______ aus (Urteil S. 105), dieser sei {Erwägungen}. Gemäss Eingabe vom 21. Juli 2006 soll der Beschwerdeführer von der eigenen Familie unterstützt werden und zurzeit keine Fürsorgegelder beziehen. Der Beschwerdeführer ist nach der Aktenlage gesund, ledig und hat keine Kinder. Nach dem {....} sind keine strafrechtlich relevanten Vorfälle über ihn bekannt.</w:t>
      </w:r>
    </w:p>
    <w:p>
      <w:r>
        <w:rPr>
          <w:b/>
        </w:rPr>
        <w:t>E. 4.5</w:t>
      </w:r>
    </w:p>
    <w:p>
      <w:r>
        <w:t>Das Bundesverwaltungsgericht kommt vorliegend im Rahmen der in der Interessenabwägung zu berücksichtigenden Elemente zum folgenden Schluss: Wie oben bereits ausgeführt, ist die Ausschlussklausel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In casu wurde der Beschwerdeführer zu einer bedingten Freiheitsstrafe von {....} verurteilt. Gemäss dem Urteil des Bezirksgerichts O._______ (Urteil S. 104) ging das Gericht unter Berücksichtigung der Strafschärfungs- und -milderungsgründe von einem abstrakten Strafrahmen von einer Busse bis zu R._______ Jahren Freiheitsstrafe aus. Angesichts dieses Strafrahmens und der betroffenen Rechtsgüter (Leib und Leben) erscheint die Verurteilung zu einer Freiheitsstrafe von {....} nicht gerade geringfügig, aber auch nicht als speziell hoch. Auf den Einwand in der Eingabe vom 21. Juli 2006, wonach die Berufung unter dem Eindruck einer Anschlussberufung des Staatsanwalts und der vom Obergericht in Aussicht gestellten Verurteilung des Beschwerdeführers zu einer unbedingten Freiheitsstrafe zurückgezogen worden sei, ist vorliegend nicht weiter einzugehen, da sich das Bundesverwaltungsgericht am Umstand, dass das Urteil des Bezirksgerichts O._______ rechtskräftig ist, zu orientieren hat. Zu Lasten des Beschwerdeführers ist zu berücksichtigen, dass er innerhalb der Probezeit erneut straffällig wurde, weshalb zwei bedingt ausgesprochene Freiheitsstrafen widerrufen wurden. Zuungunsten des Beschwerdeführers ist zudem festzuhalten, dass er es - jedenfalls bis zum Zeitpunkt des Urteils des Bezirksgerichts O._______ vom 13. April 2004 - trotz seines langjährigen Aufenthaltes in der Schweiz seit seiner Einreise im Februar 1992 beziehungsweise seit April 1993, als feststand, dass er hier vorläufig aufgenommen wurde, nicht geschafft hat, sich dauerhaft in das Arbeitsleben zu integrieren und für sich selbst aufzukommen. Offensichtlich musste er von seiner Familie unterstützt werden. Ob es an einem mangelhaften Integrationswillen, an der Unmöglichkeit, zu entsprechenden Arbeitsbewilligungen zu gelangen, oder an anderen Gründen lag, kann vorliegend offen bleiben. Gemäss den Akten ist der Beschwerdeführer seit 2006 erwerbstätig. Wird berücksichtigt, dass er seit {....} ein klagloses Verhalten an den Tag legte - jedenfalls liegen dem Bundesverwaltungsgericht in dieser Hinsicht keinerlei Angaben vor beziehungsweise sind aus den Akten keine weiteren Verfehlungen des Beschwerdeführers ersichtlich -, ist daher in Würdigung sämtlicher relevanter Umstände, so auch des Aufenthaltes in der Schweiz seit 1992 und des Kontaktes zu seiner hier lebenden Familie, die ihm offensichtlich trotz seiner Delinquenz zur Seite stand, sein persönliches Interesse an einem weiteren Verbleib in der Schweiz höher zu gewichten als das öffentliche Fernhalteinteresse der Schweiz.</w:t>
      </w:r>
    </w:p>
    <w:p>
      <w:r>
        <w:rPr>
          <w:b/>
        </w:rPr>
        <w:t>E. 4.6</w:t>
      </w:r>
    </w:p>
    <w:p>
      <w:r>
        <w:t>Aufgrund des Resultates dieser Interessenabwägung ist demnach zusammenfassend festzustellen, dass die Anwendung der Ausschlussklausel von Art. 83 Abs. 7 AuG als nicht verhältnismässig erscheint. Demnach überwiegt das öffentliche Interesse der Schweiz am Vollzug der Wegweisung das private Interesse des Beschwerdeführers, sich auf die Wegweisungsschranke von Art. 83 Abs. 1 AuG zu berufen, nicht. Diese Beurteilung ist abhängig vom weiteren Wohlverhalten des Beschwerdeführers und könnte bei weiteren Klagen beziehungsweise Verurteilungen zu einer erneuten Prüfung, ob die vorläufige Aufnahme aufzuheben wäre, führen.</w:t>
      </w:r>
    </w:p>
    <w:p>
      <w:r>
        <w:rPr>
          <w:b/>
        </w:rPr>
        <w:t>E. 4.7</w:t>
      </w:r>
    </w:p>
    <w:p>
      <w:r>
        <w:t>Zusammenfassend ergibt sich, dass eine Rückkehr des Beschwerdeführers in die Türkei derzeit als nach wie vor unzumutbar zu qualifizieren und kein Vorbehalt im Sinne von Art. 83 Abs. 7 AuG anzubringen ist. Die Verfügung des Bundesamtes vom 15. März 2001 ist daher aufzuheben. Das BFM ist anzuweisen, die am 6. April 1993 angeordnete vorläufige Aufnahme weiterzuführen. Die Beschwerde ist demnach gutzuheissen, soweit darauf einzutreten ist. Bei dieser Sachlage kann offen bleiben, ob die vom Beschwerdeführer geltend gemachte Ausbürgerung aus der Türkei einem allfälligen Wegweisungsvollzug entgegenstünde. Desgleichen ist nicht weiter zu prüfen, ob mit der Verweigerung der Einsicht in bestimmte Akten der Vorinstanz allenfalls das rechtliche Gehör verletzt wurde.</w:t>
      </w:r>
    </w:p>
    <w:p>
      <w:r>
        <w:rPr>
          <w:b/>
        </w:rPr>
        <w:t>E. 5.1</w:t>
      </w:r>
    </w:p>
    <w:p>
      <w:r>
        <w:t>Bei diesem Ausgang des Verfahrens sind keine Verfahrenskosten aufzuerlegen (Art. 63 Abs. 1 und 2 VwVG). Der am 23. Juli 2001 bezahlte Kostenvorschuss von Fr. 600.-- ist dem Beschwerdeführer zurückzuerstatten.</w:t>
      </w:r>
    </w:p>
    <w:p>
      <w:r>
        <w:rPr>
          <w:b/>
        </w:rPr>
        <w:t>E. 5.2</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Rechtsvertretungen wurden keine Kostennoten eingereicht. Auf die Nachforderung von solchen kann indes verzichtet werden, da im vorliegenden Verfahren der Aufwand für den Beschwerdeführer zuverlässig abgeschätzt werden kann (vgl. Art. 14 Abs. 2 VGKE). Die von der Vorinstanz zu entrichtende Parteientschädigung ist von Amtes wegen und in Berücksichtigung des Umstandes, dass die im Zusammenhang mit dem Stellen eines unzulässigen Beschwerdeantrages (vgl. E. 1.3) zusammenhängenden Aufwendungen nicht zu entschädigen sind, sowie der massgeblichen Bemessungsfaktoren (vgl. Art. 8 ff. VGKE) auf Fr. 800.--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