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D-7175/2024 vom 31. Juli 2025</w:t>
      </w:r>
    </w:p>
    <w:p>
      <w:r>
        <w:t>Bundesverwaltungsgericht, 2025-07-31, DE</w:t>
      </w:r>
    </w:p>
    <w:p>
      <w:r>
        <w:rPr>
          <w:b/>
        </w:rPr>
        <w:t xml:space="preserve">Quelle: </w:t>
      </w:r>
      <w:r>
        <w:t>https://mcp.opencaselaw.ch/entscheid/bvger_D-7175_2024</w:t>
      </w:r>
    </w:p>
    <w:p>
      <w:r>
        <w:t>FR: TAF D-7175/2024 du 31 juillet 2025</w:t>
      </w:r>
    </w:p>
    <w:p>
      <w:r>
        <w:t>IT: TAF D-7175/2024 del 31 luglio 2025</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Es entscheidet auf dem Gebiet des Asyls in der Regel – so auch hier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w:t>
      </w:r>
    </w:p>
    <w:p>
      <w:r>
        <w:t>D-7175/2024 Seite 5 Zuständigkeit mit Zustimmung eines zweiten Richters beziehungsweise ei- ner zweiten Richterin entschieden (Art. 111 Bst. e AsylG).</w:t>
      </w:r>
    </w:p>
    <w:p>
      <w:r>
        <w:rPr>
          <w:b/>
        </w:rPr>
        <w:t>E. 4.1</w:t>
      </w:r>
    </w:p>
    <w:p>
      <w:r>
        <w:t>Soweit der Beschwerdeführer eine Verletzung des Akteneinsichtsrecht rügt und um Einsicht in die Aktenstücke 10/1, 19/1, 27/2, 35/1 und 36/2 ersucht, ist festzuhalten, dass es sich bei der Akte 10/1 ("Bericht Identitäts- abklärung") um ein amtsinternes Formular handelt, in welchem vom SEM jeweils – so auch hier – aufgelistet wird, was bis dahin über die Identität einer Person bekannt respektive noch unbekannt ist und in welchen Da- tenbanken die Person verzeichnet ist. Die Akte 19/1 (Übermittlungsnotiz SEM an den Anhörungspool) enthält formelle Informationen wie Sprache der Anhörung, ausstehende Vollmacht der Rechtsvertretung oder stattge- fundene Akteneinsicht ins Anhörungsprotokoll. Die Akte 27/2 (Aktennotiz zuhanden Poolanhörung) enthält eine Zusammenfassung der durchgeführ- ten Anhörung mit Fragestellungen für die ergänzende Anhörung. Die Akte 35/1 ist eine interne Abklärung, welche der sorgfältigen Rechtsabklärung diente, und das Aktenstück 36/2 (Mitteilung Interner Antrag vorläufige Auf- nahme) hält lediglich die Anordnung der vorläufigen Aufnahme des Be- schwerdeführers fest. Damit hat das SEM diese Aktenstücke zu Recht als interne Akten bezeichnet (vgl. dazu Urteile des BVGer D-2922/2023 vom 25. April 2025 E. 3.3; D-5917/2024 vom 6. Januar 2025 E. 4.3). Der Inhalt der genannten Dokumente war für die Entscheidfindung des SEM, entge- gen der in der Beschwerde vertretenen Auffassung, gerade nicht relevant. Eine Verletzung des Anspruchs auf Akteneinsicht ist somit nicht ersichtlich.</w:t>
      </w:r>
    </w:p>
    <w:p>
      <w:r>
        <w:rPr>
          <w:b/>
        </w:rPr>
        <w:t>E. 4.2</w:t>
      </w:r>
    </w:p>
    <w:p>
      <w:r>
        <w:t>Der Antrag, es sei Einsicht in die erwähnten Akten zu gewähren und nach der Gewährung der Akteneinsicht eine angemessene Frist zur Einrei- chung einer Beschwerdeergänzung anzusetzen, ist als unbegründet abzu- weisen.</w:t>
      </w:r>
    </w:p>
    <w:p>
      <w:r>
        <w:rPr>
          <w:b/>
        </w:rPr>
        <w:t>E. 4.3</w:t>
      </w:r>
    </w:p>
    <w:p>
      <w:r>
        <w:t>Mit Blick auf den Ausgang des Verfahrens (vgl. E. 7.1) erübrigt sich eine Auseinandersetzung mit den weiteren formellen Rügen.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D-7175/2024 Seite 6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wobei insbesondere die wichtigsten syrisch-kurdischen Akteure, darunter na- mentlich die hinter der Autonomen Administration Nord- und Ostsyrien (englisch "Democratic Autonomous Administration of North and East Syria" [DAANES]) stehenden politischen Kräfte, eine ablehnende Haltung vertre- 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w:t>
      </w:r>
    </w:p>
    <w:p>
      <w:r>
        <w:t>D-7175/2024 Seite 7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ist der Ausgangspunkt die im Zeitpunkt der Ausreise der asylsuchenden Person bestehende Verfol- gungssituation. Nach Lehre und Praxis wird jedoch dann auf die Gefähr- dungslage im Moment des Asylentscheides abgestellt, wenn sich die Lage im Heimatstaat zwischen Ausreise und Asylentscheid massgeblich zu Gunsten oder zu Lasten der asylsuchenden Person verändert hat (vgl. BVGE 2011/51 E. 6.1 m.w.N.).</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7.1</w:t>
      </w:r>
    </w:p>
    <w:p>
      <w:r>
        <w:t>Nach dem Gesagten ist die Beschwerde gutzuheissen, soweit die Rückweisung zur Neubeurteilung an die Vorinstanz beantragt wird. Das SEM ist aufzufordern, die erforderlichen Massnahmen durchzuführen und gestützt auf die entsprechenden Erkenntnisse das Asylgesuch des Beschwerdeführers erneut zu prüfen.</w:t>
      </w:r>
    </w:p>
    <w:p>
      <w:r>
        <w:rPr>
          <w:b/>
        </w:rPr>
        <w:t>E. 7.2</w:t>
      </w:r>
    </w:p>
    <w:p>
      <w:r>
        <w:t>Vor diesem Hintergrund erübrigt sich ein weiteres Eingehen auf die Beschwerdevorbringen und eine Auseinandersetzung mit den im Rahmen des Beschwerdeverfahrens eingereichten Beweismitteln, weil diese ebenfalls Gegenstand des wiederaufzunehmenden erstinstanzlichen Verfahrens sein werden und demnach in die Beurteilungskompetenz der Vorin-stanz fallen.</w:t>
      </w:r>
    </w:p>
    <w:p>
      <w:r>
        <w:rPr>
          <w:b/>
        </w:rPr>
        <w:t>E. 8</w:t>
      </w:r>
    </w:p>
    <w:p>
      <w:r>
        <w:t>Dezember 2024 vorzunehmen. Sondern es ist auch danach zu fragen, inwiefern sich die betreffenden Veränderungen der Lage im Heimatstaat auf die Beurteilung der Frage der Flüchtlingseigenschaft und Asylgewäh- rung in Bezug auf den Beschwerdeführer – selbst wenn die geltend ge- machten Vorfluchtgründe mit dem SEM als unglaubhaft zu qualifizieren wä- ren – auswirken (vgl. dazu auch Urteil des BVGer D-3877/2023 vom 23. Juli 2025 E. 6.4). Eine solche umfassende Beurteilung eines grundle- gend veränderten Sachverhalts ist nicht auf Beschwerdeebene, sondern im Rahmen eines erstinstanzlichen Verfahrens durch das SEM vorzuneh- men. Es rechtfertigt sich deshalb eine Kassation der angefochtenen Verfü- gung. Dabei wird durch die Vorinstanz bei der Abklärung des Sachverhalts zum einen die erforderliche allgemeine Lagebeurteilung vorzunehmen, zum anderen dem Beschwerdeführer in angemessener Weise das</w:t>
      </w:r>
    </w:p>
    <w:p>
      <w:r>
        <w:t>D-7175/2024 Seite 8 rechtliche Gehör zu erteilen sein. Im Übrigen bleibt auf diese Weise der Instanzenzug erhalten, was umso wesentlicher ist, als das Bundesverwal- tungsgericht im Anwendungsbereich des Asylgesetzes als einzige gericht- liche Behörde und mithin letztinstanzlich entscheidet. 7. 7.1 Nach dem Gesagten ist die Beschwerde gutzuheissen, soweit die Rückweisung zur Neubeurteilung an die Vorinstanz beantragt wird. Das SEM ist aufzufordern, die erforderlichen Massnahmen durchzuführen und gestützt auf die entsprechenden Erkenntnisse das Asylgesuch des Be- schwerdeführers erneut zu prüfen. 7.2 Vor diesem Hintergrund erübrigt sich ein weiteres Eingehen auf die Be- schwerdevorbringen und eine Auseinandersetzung mit den im Rahmen des Beschwerdeverfahrens eingereichten Beweismitteln, weil diese eben- falls Gegenstand des wiederaufzunehmenden erstinstanzlichen Verfah- rens sein werden und demnach in die Beurteilungskompetenz der Vorin- stanz fallen.</w:t>
      </w:r>
    </w:p>
    <w:p>
      <w:r>
        <w:rPr>
          <w:b/>
        </w:rPr>
        <w:t>E. 8.1</w:t>
      </w:r>
    </w:p>
    <w:p>
      <w:r>
        <w:t>Angesichts des direkten Entscheids in der Sache erweist sich der An- trag, es sei auf die Erhebung eines Kostenvorschusses zu verzichten, als gegenstandslos.</w:t>
      </w:r>
    </w:p>
    <w:p>
      <w:r>
        <w:rPr>
          <w:b/>
        </w:rPr>
        <w:t>E. 8.2</w:t>
      </w:r>
    </w:p>
    <w:p>
      <w:r>
        <w:t>Bei diesem Ausgang des Verfahrens sind keine Kosten zu erheben (Art. 63 Abs. 1 und 2 VwVG), weshalb das Gesuch um Gewährung der unentgeltlichen Prozessführung ebenfalls gegenstandslos geworden ist.</w:t>
      </w:r>
    </w:p>
    <w:p>
      <w:r>
        <w:rPr>
          <w:b/>
        </w:rPr>
        <w:t>E. 8.3</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1'600.– zuzusprechen. (Dispositiv nächste Seite)</w:t>
      </w:r>
    </w:p>
    <w:p>
      <w:r>
        <w:t>D-7175/2024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