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D-7175/2010 vom 21. November 2011</w:t>
      </w:r>
    </w:p>
    <w:p>
      <w:r>
        <w:t>Bundesverwaltungsgericht, 2011-11-21, DE</w:t>
      </w:r>
    </w:p>
    <w:p>
      <w:r>
        <w:rPr>
          <w:b/>
        </w:rPr>
        <w:t xml:space="preserve">Quelle: </w:t>
      </w:r>
      <w:r>
        <w:t>https://mcp.opencaselaw.ch/entscheid/bvger_D-7175_2010</w:t>
      </w:r>
    </w:p>
    <w:p>
      <w:r>
        <w:t>FR: TAF D-7175/2010 du 21 novembre 2011</w:t>
      </w:r>
    </w:p>
    <w:p>
      <w:r>
        <w:t>IT: TAF D-7175/2010 del 21 novembre 2011</w:t>
      </w:r>
    </w:p>
    <w:p>
      <w:pPr>
        <w:pStyle w:val="Heading2"/>
      </w:pPr>
      <w:r>
        <w:t>Regeste</w:t>
      </w:r>
    </w:p>
    <w:p>
      <w:r>
        <w:t>Asyl und Wegweisung</w:t>
      </w:r>
    </w:p>
    <w:p>
      <w:pPr>
        <w:pStyle w:val="Heading2"/>
      </w:pPr>
      <w:r>
        <w:t>Erwägungen</w:t>
      </w:r>
    </w:p>
    <w:p>
      <w:r>
        <w:rPr>
          <w:b/>
        </w:rPr>
        <w:t>E. 1.1</w:t>
      </w:r>
    </w:p>
    <w:p>
      <w:r>
        <w:t>Gemäss Art. 33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Beschwerdeführerinnen haben am vorinstanzlichen Verfahren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Beschwerdeführerin 1 hat am 28. Oktober 2011 den Rückzug ihrer Beschwerde gegen die Verfügung des BFM vom 10. September 2010 erklärt. Das sie betreffende Beschwerdeverfahren ist daher im einzelrichterlichen Verfahren als gegenstandslos geworden abzuschreiben (Art. 111 Bst. a AsylG).</w:t>
      </w:r>
    </w:p>
    <w:p>
      <w:r>
        <w:rPr>
          <w:b/>
        </w:rPr>
        <w:t>E. 3.2</w:t>
      </w:r>
    </w:p>
    <w:p>
      <w:r>
        <w:t>Indes bleibt die Beschwerde der Beschwerdeführerin 2 zu prüfen. Aus prozessökonomischen Gründen rechtfertigt es sich, keine Trennung der beiden Verfahren vorzunehmen, sondern in einem Entscheid abzuhandeln. Das die Beschwerdeführerin 2 betreffende Beschwerdeverfahren ist dabei im summarischen Verfahren gemäss Art. 111 Bst. e i.V.m. Art. 111a Abs. 2 AsylG weiterzuführen. Über offensichtlich unbegründete Beschwerden wird nämlich in einzelrichterlicher Zuständigkeit mit Zustimmung eines zweiten Richters entschieden (Art. 111 Bst. e AsylG). Wie nachstehend aufgezeigt, handelt es sich bei der Beschwerde der Beschwerdeführerin 2 um eine solche, weshalb der Beschwerdeentscheid nur summarisch zu begründen ist (Art. 111a Abs. 2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Entscheidungen und Mitteilungen der [vormaligen] Schweizerischen Asylrekurskommission [EMARK] 2004 Nr. 1 E. 5 S. 4 ff.).</w:t>
      </w:r>
    </w:p>
    <w:p>
      <w:r>
        <w:rPr>
          <w:b/>
        </w:rPr>
        <w:t>E. 5</w:t>
      </w:r>
    </w:p>
    <w:p>
      <w:r>
        <w:t>Die Beschwerdeführerin 2 brachte keine Fluchtgründe im Sinne von Art. 3 AsylG vor. Vielmehr bestätigte sie im Rahmen der Anhörungen, dass sie in Äthiopien keine Probleme gehabt habe, sondern ihr Heimatland einzig deshalb verlassen habe, da sie ihre Mutter (die Beschwerdeführerin 1) vermisst habe. Damit erfüllt die Beschwerdeführerin 2 die Flüchtlingseigenschaft gemäss Art. 3 AsylG nicht. Das BFM hat ihr Asylgesuch daher zu Recht abgelehnt. Der Einwand der Beschwerdeführerin 1 in der Beschwerdeeingabe vom 4. Oktober 2010, die Familie habe in D._______ sehr wohl Probleme gehabt (Benachteiligung der Kinder und Zerstörung des neuen Hauses wegen der eritreischen Staatsangehörigkeit der Beschwerdeführerin 1), welche die Beschwerdeführerin 2 aus Angst jedoch nicht erwähnt habe, vermag an dieser Einschätzung nichts zu ändern. Die betreffenden Vorbringen sind grundsätzlich als nachgeschoben und damit als unglaubhaft zu betrachten, zumal sich die Beschwerdeführerin 1 in ihrer Beschwerderückzugserklärung vom 28. Oktober 2010 nunmehr als äthiopische Staatsangehörige bezeichnete und damit der Grundangabe für die angeblichen Probleme in D._______ selbst widersprach. Im Übrigen vermöchten die geltend gemachten Probleme auch die Anforderungen an die Flüchtlingseigenschaft gemäss Art. 3 AsylG nicht zu erfüllen.</w:t>
      </w:r>
    </w:p>
    <w:p>
      <w:r>
        <w:rPr>
          <w:b/>
        </w:rPr>
        <w:t>E. 6</w:t>
      </w:r>
    </w:p>
    <w:p>
      <w:r>
        <w:t>Lehnt das Bundesamt das Asylgesuch ab oder tritt es darauf nicht ein, so verfügt es in der Regel die Wegweisung aus der Schweiz (Art. 44 Abs. 1 AsylG). Die Beschwerdeführerin 2 verfügt weder über eine ausländerrechtliche Aufenthaltsbewilligung noch über einen Anspruch auf Erteilung einer solchen. Die Wegweisung wurde daher zu Recht angeordnet (vgl. BVGE 2008/34 E. 9.2 S. 510;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die Beschwerdeführerin 2 die Flüchtlingseigenschaft gemäss Art. 3 AsylG nicht erfüllt, kann das in Art. 5 AsylG verankerte Prinzip des flüchtlingsrechtlichen Rückschiebungsverbots vorliegend nicht zur Anwendung gelangen. Der Vollzug der Wegweisung nach Äthiopien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der Beschwerdeführerin 2 noch aus den Akten ergeben sich Anhaltspunkte dafür, dass sie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die Beschwerdeführerin 2 eine konkrete Gefährdung ("real risk") nachweisen oder glaubhaft machen, dass ihr im Falle einer Rückschiebung Folter oder unmenschliche Behandlung drohen würde (vgl. EMARK 2001 Nr. 16 S. 122, mit weiteren Hinweisen). Dies ist vorliegend nicht der Fall. Auch die allgemeine Menschenrechtssituation in Äthiopien lässt den Wegweisungsvollzug nicht als unzulässig erscheinen.</w:t>
      </w:r>
    </w:p>
    <w:p>
      <w:r>
        <w:rPr>
          <w:b/>
        </w:rPr>
        <w:t>E. 7.1.3</w:t>
      </w:r>
    </w:p>
    <w:p>
      <w:r>
        <w:t>Der Vollzug der Wegweisung der Beschwerdeführerin 2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7.2.1</w:t>
      </w:r>
    </w:p>
    <w:p>
      <w:r>
        <w:t>In Äthiopien herrscht keine Situation allgemeiner Gewalt, so dass der Vollzug der Wegweisung dorthin grundsätzlich als zumutbar erscheint.</w:t>
      </w:r>
    </w:p>
    <w:p>
      <w:r>
        <w:rPr>
          <w:b/>
        </w:rPr>
        <w:t>E. 7.2.2</w:t>
      </w:r>
    </w:p>
    <w:p>
      <w:r>
        <w:t>In den Akten finden sich auch keine konkreten Anhaltspunkte dafür, dass die Beschwerdeführerin 2 aus individuellen Gründen wirtschaftlicher, sozialer oder gesundheitlicher Natur bei einer Rückkehr in ihr Heimatland in eine existenzbedrohende Situation geraten würden. Die soweit aktenkundig gesunde Beschwerdeführerin 2 hat bis zu ihrer Ausreise aus Äthiopien immer in D._______ gelebt und dort die Schule besucht. Sie ist somit mit den dortigen Verhältnissen bestens vertraut. Mit ihrem Vater, den Geschwistern und der mittlerweile dorthin zurückgekehrten Mutter (der Beschwerdeführerin 1) verfügt sie in D._______ über ein enges familiäres Beziehungsnetz. Sie kann zu ihrer Familie zurückkehren, die ihr bei der Wiedereingliederung unterstützend zur Seite stehen können wird, so dass nicht davon auszugehen ist, sie würde bei einer Rückkehr in eine ihre Existenz vernichtende Situation geraten, die als konkrete Gefährdung im Sinne der zu beachtenden Bestimmungen zu werten wäre (Art. 83 Abs. 4 AuG).</w:t>
      </w:r>
    </w:p>
    <w:p>
      <w:r>
        <w:rPr>
          <w:b/>
        </w:rPr>
        <w:t>E. 7.2.3</w:t>
      </w:r>
    </w:p>
    <w:p>
      <w:r>
        <w:t>Der Vollzug der Wegweisung erweist sich daher in genereller und individueller Hinsicht als zumutbar.</w:t>
      </w:r>
    </w:p>
    <w:p>
      <w:r>
        <w:rPr>
          <w:b/>
        </w:rPr>
        <w:t>E. 7.3</w:t>
      </w:r>
    </w:p>
    <w:p>
      <w:r>
        <w:t>Schliesslich obliegt es der Beschwerdeführerin 2, bei der Beschaffung allenfalls benötigter Reisepapiere mitzuwirken (Art. 8 Abs. 4 AsylG; vgl. dazu auch BVGE 2008/34 E. 12 S. 513 f.), weshalb der Vollzug der Wegweisung auch als möglich zu bezeichnen ist (Art. 83 Abs. 2 AuG).</w:t>
      </w:r>
    </w:p>
    <w:p>
      <w:r>
        <w:rPr>
          <w:b/>
        </w:rPr>
        <w:t>E. 7.4</w:t>
      </w:r>
    </w:p>
    <w:p>
      <w:r>
        <w:t>Der durch die Vorinstanz verfügte Wegweisungsvollzug ist zu bestätigen und eine Anordnung der vorläufigen Aufnahme der Beschwerdeführerin 2 fällt damit ausser Betracht (Art. 83 Abs. 1-4 AuG).</w:t>
      </w:r>
    </w:p>
    <w:p>
      <w:r>
        <w:rPr>
          <w:b/>
        </w:rPr>
        <w:t>E. 8</w:t>
      </w:r>
    </w:p>
    <w:p>
      <w:r>
        <w:t>Aus diesen Erwägungen ergibt sich, dass die die Beschwerdeführerin 2 betreffende Verfügung des BFM vom 10. September 2010 Bundesrecht nicht verletzt, den rechtserheblichen Sachverhalt richtig und vollständig feststellt und angemessen ist (Art. 106 AsylG). Die Beschwerde der Beschwerdeführerin 2 ist somit abzuweisen.</w:t>
      </w:r>
    </w:p>
    <w:p>
      <w:r>
        <w:rPr>
          <w:b/>
        </w:rPr>
        <w:t>E. 9</w:t>
      </w:r>
    </w:p>
    <w:p>
      <w:r>
        <w:t>Bei diesem Ausgang des Verfahrens wären dessen Kosten grundsätzlich den Beschwerdeführerinnen aufzuerlegen (Art. 63 Abs. 1 VwVG; Art. 5 des Reglements vom 21. Februar 2008 über die Kosten und Entschädigungen vor dem Bundesverwaltungsgericht [VGKE, SR 173.320.2]). Da die Beschwerde jedoch nicht als aussichtslos betrachtet werden konnte und die Bedürftigkeit der Beschwerdeführerinnen belegt ist, ist in Gutheissung des in der Beschwerdeeingabe vom 4. Oktober 2010 gestellten Gesuchs um Gewährung der unentgeltlichen Rechtspflege gemäss Art. 65 Abs. 1 VwVG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