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D-7164/2024 vom 10. Oktober 2024</w:t>
      </w:r>
    </w:p>
    <w:p>
      <w:r>
        <w:t>Bundesverwaltungsgericht, 2024-10-10, DE</w:t>
      </w:r>
    </w:p>
    <w:p>
      <w:r>
        <w:rPr>
          <w:b/>
        </w:rPr>
        <w:t xml:space="preserve">Quelle: </w:t>
      </w:r>
      <w:r>
        <w:t>https://mcp.opencaselaw.ch/entscheid/bvger_D-7164_2024_d20241010</w:t>
      </w:r>
    </w:p>
    <w:p>
      <w:r>
        <w:t>FR: TAF D-7164/2024 du 10 octobre 2024</w:t>
      </w:r>
    </w:p>
    <w:p>
      <w:r>
        <w:t>IT: TAF D-7164/2024 del 10 ottobre 2024</w:t>
      </w:r>
    </w:p>
    <w:p>
      <w:pPr>
        <w:pStyle w:val="Heading2"/>
      </w:pPr>
      <w:r>
        <w:t>Regeste</w:t>
      </w:r>
    </w:p>
    <w:p>
      <w:r>
        <w:t>Asyl und Wegweisung | Asyl und Wegweisung; Verfügung des SEM vom 10.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 stehend aufgezeigt wird, handelt es sich um ein solches Rechtsmittel, wes- halb das Urteil nur summarisch zu begründen ist und auf die Durchführung eines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D-7164/2024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seines ablehnenden Asylentscheids aus, dass sich die eingereichten Beweismittel auf Korrespondenzen zwi- schen den lokalen Verwaltungen von E._______ beziehungsweise F._______ betreffend die Zuständigkeit für allfällig vorliegende Delikte in den sozialen Medien sowie auf einen Open-Source-Untersuchungsbericht im Rahmen des Ermittlungsverfahrens beziehen würden. Entgegen seinen Aussagen in der Anhörung liege kein Vorführbefehl vor. Zudem handle es sich bei jenem Dokument (ausgestellt im Januar 2023), das im Schreiben seiner Rechtsvertretung vom 16. Januar 2024 als Geheimhaltungsbestäti- gung bezeichnet worden sei, lediglich um ein Begleitschreiben der Verwal- tung von E._______ betreffend den Versand von Untersuchungsunterla- gen. Schliesslich seien auch dem undatierten Referenzschreiben seines Anwalts weder Hinweise auf tatsächlich vorliegende Geheimhaltungs- beschlüsse noch auf einen vorliegenden Vorführbefehl zu entnehmen. Der Beschwerdeführer verfüge nicht über ein politisch exponiertes Profil, wel- ches über das Teilen von Beiträgen in den sozialen Medien hinausgehen würde. Seine Vorbringen seien deshalb flüchtlingsrechtlich nicht relevant.</w:t>
      </w:r>
    </w:p>
    <w:p>
      <w:r>
        <w:rPr>
          <w:b/>
        </w:rPr>
        <w:t>E. 5.2</w:t>
      </w:r>
    </w:p>
    <w:p>
      <w:r>
        <w:t>Dem entgegnet der Beschwerdeführer in seiner Beschwerde im We- sentlichen, es liege ein Festnahmebefehl gegen ihn vor. Er habe am 13. November 2024 Beweismittel erhalten, die er «in den nächsten Tagen» übersetzen und beim Gericht einreichen werde. Ferner sei er aufgrund sei- ner kurdischen Herkunft in der Türkei Diskriminierungen ausgesetzt. Schliesslich sei der rechtserhebliche Sachverhalt unvollständig und fehler- haft festgestellt worden. Die Verfügung sei pauschal und undifferenziert.</w:t>
      </w:r>
    </w:p>
    <w:p>
      <w:r>
        <w:rPr>
          <w:b/>
        </w:rPr>
        <w:t>E. 6.1</w:t>
      </w:r>
    </w:p>
    <w:p>
      <w:r>
        <w:t>Soweit gegen den Beschwerdeführer im Zusammenhang mit Posts auf Social Media ein strafrechtliches Verfahren eröffnet worden sein soll, ist</w:t>
      </w:r>
    </w:p>
    <w:p>
      <w:r>
        <w:t>D-7164/2024 Seite 6 Folgendes festzuhalten: Ein allfälliges Verfahren wegen Aktivitäten in den sozialen Medien respektive wegen Propaganda für eine Terrororganisation (Art. 7 Abs. 2 des türkischen Anti-Terror-Gesetzes [Gesetz Nr. 3713, nach- folgend: ATG]) führt angesichts des äusserst niederschwelligen Profils des bisher strafrechtlich unbelasteten Beschwerdeführers nach gefestigter Rechtspraxis des Bundesverwaltungsgerichts nicht mit hoher Wahrschein- lichkeit zu Verfolgungshandlungen (vgl. dazu Urteil des BVGer E-4103/2024 vom 8. November 2024 E. 8 m.w.H. [zur Publikation als Re- ferenzurteil vorgesehen]). Daran ändert auch das Vorbringen des Be- schwerdeführers nichts, es sei gegen ihn ein Yakalama Emri (Vorführ- oder Festnahmebefehl) erlassen worden (vgl. SEM-act. […]-24/15 F79, F98), zumal sich – wie die Vorinstanz zu Recht feststellte – ein solcher in den von ihm eingereichten Unterlagen nicht findet.</w:t>
      </w:r>
    </w:p>
    <w:p>
      <w:r>
        <w:rPr>
          <w:b/>
        </w:rPr>
        <w:t>E. 6.2</w:t>
      </w:r>
    </w:p>
    <w:p>
      <w:r>
        <w:t>Soweit der Beschwerdeführer rassistische «Ungerechtigkeiten» durch die Beleidigung als «Terrorist» oder «Terroristensohn» geltend macht (vgl. etwa SEM-act. […]-24/15 F57), ist darauf hinzuweisen, dass dies die Inten- sität der ernsthaften Nachteile im Sinne von Art. 3 Abs. 2 AsylG nicht er- reicht. Daran vermag auch die geltend gemachte (wiederholte) Anhaltung durch die Polizei im Rahmen der Newroz Feierlichkeiten nichts zu ändern. Die geltend gemachte Diskriminierung geht nicht über die Nachteile hinaus, welche weite Teile der kurdischen Bevölkerung in der Türkei in ähnlicher Weise treffen und gemäss gefestigter Praxis für sich allein nicht zur Aner- kennung der Flüchtlingseigenschaft führt (vgl. etwa Urteil des BVGer E-3901/2023 vom 7. Oktober 2024 E. 5.1).</w:t>
      </w:r>
    </w:p>
    <w:p>
      <w:r>
        <w:rPr>
          <w:b/>
        </w:rPr>
        <w:t>E. 6.3</w:t>
      </w:r>
    </w:p>
    <w:p>
      <w:r>
        <w:t>Zu dem vom Beschwerdeführer vorgelegten Beweismittel, bei dem es sich nach den Angaben seiner damaligen Rechtsvertretung um den Ge- heimhaltungsbeschluss betreffend das Ermittlungsverfahren handeln soll (vgl. SEM-act. […]-37/5), ist anzumerken, dass aus dem Betreff dieses Do- kuments hervorgeht, die Verfahrensakten seien versendet worden. Ent- sprechend ist nicht davon auszugehen, dass für die vom Beschwerdefüh- rer geltend gemachten Strafverfahren ein Geheimhaltungsbeschluss vor- liegt.</w:t>
      </w:r>
    </w:p>
    <w:p>
      <w:r>
        <w:rPr>
          <w:b/>
        </w:rPr>
        <w:t>E. 6.4</w:t>
      </w:r>
    </w:p>
    <w:p>
      <w:r>
        <w:t>Bezüglich des Vorbringens, er habe am 13. November 2024 Beweis- mittel erhalten, die er in den nächsten Tagen einreichen werde, ist festzu- halten, dass er diese bis zum heutigen Datum nicht beim Gericht einge- reicht hat. In antizipierter Beweiswürdigung erübrigt es sich, die Einrei- chung der angekündigten Beweismittel abzuwarten oder dem Beschwer- deführer für deren Einreichung eine Frist anzusetzen, zumal weder aus den</w:t>
      </w:r>
    </w:p>
    <w:p>
      <w:r>
        <w:t>D-7164/2024 Seite 7 Akten noch aus den Vorbringen in der Beschwerde hervorgeht, dass gegen ihn in der Türkei Anklage erhoben oder ein Gerichtsverfahren eingeleitet worden sei (vgl. zur antizipierten Beweiswürdigung BVGE 2022 I/6 E. 4.2.3).</w:t>
      </w:r>
    </w:p>
    <w:p>
      <w:r>
        <w:rPr>
          <w:b/>
        </w:rPr>
        <w:t>E. 6.5</w:t>
      </w:r>
    </w:p>
    <w:p>
      <w:r>
        <w:t>Zusammenfassend ergibt sich, dass das SEM die Flüchtlingseigen- schaft des Beschwerdeführers zu Recht verneint und sein Asylgesuch ab- gelehnt hat.</w:t>
      </w:r>
    </w:p>
    <w:p>
      <w:r>
        <w:rPr>
          <w:b/>
        </w:rPr>
        <w:t>E. 6.6</w:t>
      </w:r>
    </w:p>
    <w:p>
      <w:r>
        <w:t>Es bestehen auch keinerlei Hinweise, dass das SEM – wie in der Be- schwerde gerügt (vgl. dort S. 5) – den rechtserheblichen Sachverhalt un- vollständig und falsch festgestellt hätte, zumal die entsprechende Bean- standung in keiner Weise begründet wird. Das Begehren um Rückweisung der Sache an die Vorinstanz zur neuen Abklärung des Sachverhalts und zum Erlass einer neuen Verfügung ist daher ebenfalls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kann der in Art. 5 AsylG verankerte Grundsatz der Nichtrückschiebung im vorliegen- den Verfahren keine Anwendung finden. Eine Rückkehr des Beschwerde-</w:t>
      </w:r>
    </w:p>
    <w:p>
      <w:r>
        <w:t>D-7164/2024 Seite 8 führers in den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Verfügung vom 10. Oktober 2024, S. 7). Der Beschwerdeführer verfügt über langjährige Arbeitserfahrung in der Elektronikbranche wie auch in der Gastronomie. Er verfügt über ein familiäres Beziehungsnetz in (…), (…) und (…) sowie zahlreiche Freunde in Istanbul, bei welchen er während seines dortigen Aufenthalts hat leben können. Es ist zudem davon auszugehen, dass es ihm angesichts seines Alters und seiner Berufserfahrungen möglich sein wird, einer Erwerbstätig- keit nachgehen zu können und er damit bei einer Rückkehr in die Türkei in keine existenzbedrohende Notlage geraten dürfte. Es liegen sodann keine gesundheitlichen Gründe vor, welche gegen die Zumutbarkeit des Wegwei- sungsvollzugs sprechen würden (vgl. SEM-act. […]-24/15 F2) Nach dem Gesagten erweist sich der Vollzug der Wegweisung auch als zumutbar.</w:t>
      </w:r>
    </w:p>
    <w:p>
      <w:r>
        <w:t>D-7164/2024 Seite 9</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für das Begleichen der Kosten verwendet.</w:t>
      </w:r>
    </w:p>
    <w:p>
      <w:r>
        <w:t>(Dispositiv nächste Seite)</w:t>
      </w:r>
    </w:p>
    <w:p>
      <w:r>
        <w:t>D-7164/2024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