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D-7162/2006 vom 12. Februar 2008</w:t>
      </w:r>
    </w:p>
    <w:p>
      <w:r>
        <w:t>Bundesverwaltungsgericht, 2008-02-12, FR</w:t>
      </w:r>
    </w:p>
    <w:p>
      <w:r>
        <w:rPr>
          <w:b/>
        </w:rPr>
        <w:t xml:space="preserve">Quelle: </w:t>
      </w:r>
      <w:r>
        <w:t>https://mcp.opencaselaw.ch/entscheid/bvger_D-7162_2006</w:t>
      </w:r>
    </w:p>
    <w:p>
      <w:r>
        <w:t>FR: TAF D-7162/2006 du 12 février 2008</w:t>
      </w:r>
    </w:p>
    <w:p>
      <w:r>
        <w:t>IT: TAF D-7162/2006 del 12 febbraio 2008</w:t>
      </w:r>
    </w:p>
    <w:p>
      <w:pPr>
        <w:pStyle w:val="Heading2"/>
      </w:pPr>
      <w:r>
        <w:t>Regeste</w:t>
      </w:r>
    </w:p>
    <w:p>
      <w:r>
        <w:t>Asile et renvoi</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dès le 1er janvier 2007, par le Tribunal administratif fédéral dans la mesure où il est compétent (cf.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de la loi sur l'asile du 26 juin 1998 (LAsi, RS 142.31), 33 let. d LTAF et 83 let. d ch. 1 de la loi fédérale du 17 juin 2005 sur le Tribunal fédéral (LTF, RS 173.110).</w:t>
      </w:r>
    </w:p>
    <w:p>
      <w:r>
        <w:rPr>
          <w:b/>
        </w:rPr>
        <w:t>E. 1.2</w:t>
      </w:r>
    </w:p>
    <w:p>
      <w:r>
        <w:t>Le nouveau droit de procédure s'applique (art. 53 al. 2 phr. 2 LTAF).</w:t>
      </w:r>
    </w:p>
    <w:p>
      <w:r>
        <w:rPr>
          <w:b/>
        </w:rPr>
        <w:t>E. 1.3</w:t>
      </w:r>
    </w:p>
    <w:p>
      <w:r>
        <w:t>Les intéressés ont qualité pour recourir (cf. art. 48 al. 1 let. c PA, applicable par renvoi de l'art. 37 LTAF). Présenté dans la forme (cf. art. 52 PA) et le délai (cf. art. 50 PA) prescrits par la loi, le recours est recevable.</w:t>
      </w:r>
    </w:p>
    <w:p>
      <w:r>
        <w:rPr>
          <w:b/>
        </w:rPr>
        <w:t>E. 2</w:t>
      </w:r>
    </w:p>
    <w:p>
      <w:r>
        <w:t>Les intéressés n'ont pas recouru contre la décision de l'ODM en tant qu'elle rejette leurs demandes d'asile et prononce leur renvoi de Suisse, de sorte que, sur ces points, dite décision a acquis force de chose décidée. Reste à examiner si l'autorité de première instance a à juste titre ordonné l'exécution du renvoi des recourants dans leur pays d'origine.</w:t>
      </w:r>
    </w:p>
    <w:p>
      <w:r>
        <w:rPr>
          <w:b/>
        </w:rPr>
        <w:t>E. 3.1</w:t>
      </w:r>
    </w:p>
    <w:p>
      <w:r>
        <w:t>L'exécution du renvoi est ordonnée si elle est licite, raisonnablement exigible et possible. Si tel n'est pas le cas, l'ODM règle les conditions de résidence conformément aux dispositions de la loi fédérale sur les étrangers du 16 décembre 2005 (LEtr, RS 142.20), entrée en vigueur le 1er janvier 2008 (cf. art. 44 al. 2 LAsi et 83 al. 1 à 4 LEtr).</w:t>
      </w:r>
    </w:p>
    <w:p>
      <w:r>
        <w:rPr>
          <w:b/>
        </w:rPr>
        <w:t>E. 3.2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Dans la mesure où les recourants ne contestent pas la décision querellée en tant qu'elle porte sur le refus de la qualité de réfugié et de l'asile, le principe de non-refoulement ancré à l'art. 5 LAsi ne trouve pas directement application.</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 ° 18 consid. 14b let. ee p. 186s. à laquelle le Tribunal n'entend pas déroger, à l'instar des jurisprudences citées plus bas).</w:t>
      </w:r>
    </w:p>
    <w:p>
      <w:r>
        <w:rPr>
          <w:b/>
        </w:rPr>
        <w:t>E. 4.5</w:t>
      </w:r>
    </w:p>
    <w:p>
      <w:r>
        <w:t>En l'occurrence, les recourants ont fait valoir les menaces de mort dont ils étaient l'objet, en République serbe de Bosnie, de la part de la population serbe. Le Tribunal constate toutefois que le caractère licite de l'exécution du renvoi s'apprécie en fonction d'un éventuel retour dans le pays d'origine en tant que tel. Or, rien ne permet d'affirmer que les intéressés seraient exposés à des traitements prohibés s'ils s'installaient dans une autre région de Bosnie et Herzégovine, notamment dans une zone où les Musulmans ne sont pas minoritaires ou du moins où les tensions sont moins exacerbées. En effet, les ennuis dont les recourants ont fait état sont circonscrits à un niveau strictement local et il leur est aujourd'hui loisible de retourner vivre en Fédération croato-musulmane en application du principe de la liberté d'établissement et sans aucun risque pour leur sécurité. Lors de leurs auditions, les intéressés n'ont d'ailleurs pas déclaré craindre pour leur sécurité en Fédération croato-musulmane, mais ont uniquement invoqué les difficultés en matière d'accès aux soins, de logement et d'emploi qu'ils y rencontreraient. Par ailleurs, rien ne permet de penser que la recourante ne pourrait pas recevoir les soins dont elle a besoin en Fédération croato-musulmane parce que les autorités lui refuseraient l'accès à tout traitement médical. Dès lors, l'attestation du « Mouvement d'action démocratique à Bratunac », datée du 4 août 2006, relative à l'agression dont l'intéressé aurait été victime au mois de mai 2002, censée confirmer que les recourants ne seraient pas en sécurité en République serbe de Bosnie, n'est pas déterminante pour l'issue de la cause. Il en va de même des documents produits concernant le père du recourant, ancien combattant porté disparu depuis 1995, dans la mesure où ils ne concernent pas la situation personnelle actuelle des recourants.</w:t>
      </w:r>
    </w:p>
    <w:p>
      <w:r>
        <w:rPr>
          <w:b/>
        </w:rPr>
        <w:t>E. 4.6</w:t>
      </w:r>
    </w:p>
    <w:p>
      <w:r>
        <w:t>Dès lors, l'exécution du renvoi des recourants sous forme de refoulement ne transgresse aucun engagement de la Suisse relevant du droit international, de sorte qu'elle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2003 n° 24 consid. 5 p. 157s., JICRA 2002 n° 11 consid. 8a p. 99, JICRA 1999 n° 28 p. 170 et jurisp. cit., et JICRA 1998 n° 22 p. 191).</w:t>
      </w:r>
    </w:p>
    <w:p>
      <w:r>
        <w:rPr>
          <w:b/>
        </w:rPr>
        <w:t>E. 5.2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157s.).</w:t>
      </w:r>
    </w:p>
    <w:p>
      <w:r>
        <w:rPr>
          <w:b/>
        </w:rPr>
        <w:t>E. 5.3</w:t>
      </w:r>
    </w:p>
    <w:p>
      <w:r>
        <w:t>Il est notoire que la Bosnie et Herzégovine ne connaît plus à l'heure actuelle une situation de guerre, de guerre civile ou de violences généralisées qui permettrait d'emblée, et indépendamment des circonstances du cas d'espèce, de présumer, à propos de tous les ressortissants du pays, l'existence d'une mise en danger concrète au sens de l'art. 83 al. 4 LEtr. En outre, par décision du 25 juin 2003, le Conseil fédéral a désigné cet Etat comme étant un pays sûr (safe country). Dès lors l'exécution du renvoi des intéressés, sous cet angle, est raisonnablement exigible.</w:t>
      </w:r>
    </w:p>
    <w:p>
      <w:r>
        <w:rPr>
          <w:b/>
        </w:rPr>
        <w:t>E. 5.4</w:t>
      </w:r>
    </w:p>
    <w:p>
      <w:r>
        <w:t>Il s'agit encore de déterminer si, au vu de la situation personnelle des recourants, l'exécution de leur renvoi est raisonnablement exigible.</w:t>
      </w:r>
    </w:p>
    <w:p>
      <w:r>
        <w:rPr>
          <w:b/>
        </w:rPr>
        <w:t>E. 5.4.1</w:t>
      </w:r>
    </w:p>
    <w:p>
      <w:r>
        <w:t>La situation générale en Bosnie et Herzégovine a été analysée à plusieurs reprises dans des décisions publiées dans le recueil JICRA (cf. en particulier JICRA 2002 n° 12 et JICRA 1999 n° 6 consid. 6a-e p. 38ss) et le Tribunal continue à observer régulièrement l'évolution de cette situation. Il estime que l'exigibilité de l'exécution du renvoi de ressortissants bosniaques doit toujours faire l'objet d'un examen individualisé, tenant compte notamment de l'appartenance ethnique, des possibilités concrètes de réinstallation, dans une sécurité suffisante, au lieu de provenance ou de séjour antérieur, de la présence ou non d'un réseau familial ou social (présupposant des liens de solidarité antérieurs), de l'âge, de l'état de santé, du sexe et de l'état civil de l'intéressé, de sa formation scolaire et de son expérience professionnelle, de l'absence ou non de charges de famille ainsi que, cas échéant, de la date et des circonstances du départ de son pays.</w:t>
      </w:r>
    </w:p>
    <w:p>
      <w:r>
        <w:rPr>
          <w:b/>
        </w:rPr>
        <w:t>E. 5.4.2</w:t>
      </w:r>
    </w:p>
    <w:p>
      <w:r>
        <w:t>En l'espèce, les intéressés étaient domiciliés, avant la guerre civile, alors qu'ils étaient enfants, dans des localités situées dans l'entité serbe de la Bosnie et Herzégovine. Le Tribunal peut toutefois se dispenser d'examiner si un renvoi dans cette région, où les personnes d'ethnie serbe sont majoritaires, pourrait être envisageable à l'heure actuelle (cf. consid. 5.4.3 ci-après).</w:t>
      </w:r>
    </w:p>
    <w:p>
      <w:r>
        <w:rPr>
          <w:b/>
        </w:rPr>
        <w:t>E. 5.4.3</w:t>
      </w:r>
    </w:p>
    <w:p>
      <w:r>
        <w:t>Il y a lieu de constater en effet que les intéressés ont vécu plusieurs années en Fédération croato-musulmane. La recourante est partie vivre à Tuzla, avec ses parents et son frère, pendant la guerre, alors qu'elle était enfant. Elle a suivi dans cette ville sept ans d'école primaire, entre 1994 et 2000 (cf. pv audition cantonale, p. 3). Le recourant a vécu à X._______, commune de Banovici, avec sa mère, à partir de 1995, alors qu'il était âgé de 13 ans. Il a notamment suivi trois années d'école secondaire, à Banovici, et a obtenu un diplome de mécanicien sur machines (cf. pv audition cantonale, p. 3). Les recourants se sont mariés le 28 mai 2002. Ils ont habité ensemble à X._______ jusqu'à leur départ du pays. Ils ne devraient donc pas connaître de difficultés particulières à retourner vivre et à se faire enregistrer à nouveau dans la commune de Banovici, d'autant plus qu'ils y ont tous deux obtenu une carte d'identité, en 2002. A leur retour, les recourants pouront en outre compter sur le soutien de la mère, de la soeur et du beau-frère du recourant qui vivent à cet endroit. Ils pourront également compter sur le soutien des parents et du frère de la recourante qui vivent à Tuzla. De plus, compte tenu de la durée de leurs séjours respectifs à Tuzla et à X._______, ils disposent nécessairement d'un réseau social dans ces lieux. A cela s'ajoute qu'ils pourront solliciter le soutien du frère du recourant qui vit en Suisse au bénéfice d'une autorisation d'établissement, lequel les a déjà aidés par le passé (cf. pv audition cantonale du recourant, p. 4). Quant aux difficultés socio-économiques invoquées par les intéressés et qui sont le lot habituel de la population locale, en particulier en matière de pénurie de logements et d'emplois, elles ne suffisent pas en soi à réaliser une mise en danger concrète au sens de l'art. 83 al. 4 LEtr (JICRA 2003 n°24 consid. 5e p. 159). Au vu de ce qui précède, l'avis de délogement de leur domicile à Banovici, daté du 30 mai 2002, produit par les recourants, ainsi que l'attestation de la commune de Banovici, datée du 23 juin 2006, indiquant que les intéressés ne sont pas inscrits comme personnes déplacées ne sont pas déterminantes pour l'issue de la cause. Par ailleurs, au vu des rapports médicaux fournis, les problèmes de santé de la recourante, même s'ils ne doivent pas être minimisés, ne sauraient constituer un obstacle d'ordre médical insurmontable à l'exécution du renvoi qui justifierait qu'une mesure de substitution à dite exécution soit ordonnée. Il ressort en effet du rapport médical le plus récent (cf. Let. M), que B._______ souffre d'un trouble dépressif récurrent, épisode actuel moyen, qu'elle a vécu une expérience de catastrophe, guerre et autre hostilité, et qu'elle présente une personnalité émotionellement labile, type impulsif, une probable modification durable de la personnalité suite à un état de stress post-traumatique, des difficultés liées à une enfance malheureuse (possibles sévices physiques infligés à un enfant, expérience personnelle terrifiante pendant l'enfance), des difficultés liées à l'éducation (hostilité envers un enfant traité en bouc émissaire, négligence affective d'un enfant) et des difficultés dans les rapports avec le conjoint. Or ces troubles diagnostiqués ne sont pas d'une gravité telle qu'un renvoi en Bosnie et Herzégovine reviendrait à mettre l'intégrité physique ou la vie de celle-ci concrètement en danger. L'état de santé de l'intéressée ne nécessite pas un traitement lourd, voire stationnaire. Au contraire, il ressort du rapport médical précité que la fréquence des entretiens psychothérapeutiques a pu passer d'hebdomadaire à bi-mensuelle et que le traitement médicamenteux se compose exclusivement d'une prise quotidienne d'un antidépresseur, le Citalopram. Il y a dès lors lieu d'admettre que les infrastructures hospitalières disponibles en Bosnie et Herzégovine seront en mesure de fournir les traitements dont l'intéressée a besoin. En particulier, la ville de Tuzla possède des infrastructures suffisantes pour répondre aux besoins de la recourante (cf. rapport de l'Organisation suisse d'aide aux réfugiés [OSAR] du 17 mai 2006, Bosnie-Herzégovine, Retour dans le canton de Tuzla [enregistrement, aide sociale, assurance-maladie] et rapport du 12 mars 2007 intitulé « Bosnien und Herzegovina : Registrierung und medizinische Versorgungsmöglichkeiten nach der Rückkehr »). Quant au financement des soins médicaux, le Tribunal retient que l'accès aux services de santé publique, à l'assistance sociale et à l'aide humanitaire dépend de l'inscription officielle au lieu de résidence et de l'octroi d'une carte d'identité (JICRA 2002 n°12 consid. 10 p. 104ss). Etant donné que les intéressés ont été enregistrés à Banovici, qu'ils y ont reçu une carte d'identité, et que la recourante a déjà bébéficié, dans son pays, d'un suivi par une psychologue scolaire (cf. rapport médical du 15 mars 2006, de l'association Appartenances) et d'un traitement composé de Xanax (cf. rapport médical du 26 novembre 2002, de l'association Appartenances), le Tribunal est fondé à penser que la recourante pourra disposer de l'aide nécessaire à son retour au pays. De plus, elle pourra, au besoin, solliciter une aide au retour (cf. art. 93 al. 1 let. d LAsi). Certes le rapport médical du 1er novembre 2007 estime qu'un retour en Bosnie et Herzégovine signifierait aussi une vulnérabilisation de la relation de l'intéressée avec son époux et conclut qu'un tel contexte de vie mettrait à mal les progrès actuels de celle-ci, au risque de provoquer une décompensation psychique grave. Quand bien même le Tribunal est conscient de l'impact négatif qu'est susceptible d'engendrer une décision d'exécution du renvoi sur l'état de santé de la recourante, le pronostic émis par les signataires du rapport est trop incertain pour considérer l'exécution d'une telle mesure comme déraisonnable. Au vu de ce qui précède, le Tribunal estime dès lors que les problèmes médicaux de l'intéressée ne sont pas de nature à rendre son retour inexigible.</w:t>
      </w:r>
    </w:p>
    <w:p>
      <w:r>
        <w:rPr>
          <w:b/>
        </w:rPr>
        <w:t>E. 5.4.4</w:t>
      </w:r>
    </w:p>
    <w:p>
      <w:r>
        <w:t>En conséquence, le Tribunal est fondé à admettre qu'un éventuel retour des recourants en Fédération croato-musulmane, et en particulier dans les villes ou les régions de Banovici et Tuzla ne se heurterait pas à des obstacles pratiques insurmontables. Dès lors, l'attestation de la commune de Bratunac, datée du 10 août 2006, concernant la destruction de la maison du recourant qui se trouvait dans l'entité serbe de la Bosnie et Herzégovine, n'est pas déterminante pour l'issue de la cause.</w:t>
      </w:r>
    </w:p>
    <w:p>
      <w:r>
        <w:rPr>
          <w:b/>
        </w:rPr>
        <w:t>E. 5.5</w:t>
      </w:r>
    </w:p>
    <w:p>
      <w:r>
        <w:t>Dans ces conditions, au vu de l'ensemble des circonstances du cas d'espèce, le Tribunal arrive à la conclusion que l'exécution du renvoi des intéressés dans leur pays d'origine, compte tenu de leur situation personnelle, doit être considérée comme raisonnablement exigible au sens de l'art. 83 al. 4 LEtr.</w:t>
      </w:r>
    </w:p>
    <w:p>
      <w:r>
        <w:rPr>
          <w:b/>
        </w:rPr>
        <w:t>E. 6</w:t>
      </w:r>
    </w:p>
    <w:p>
      <w:r>
        <w:t>Enfin, les recourants sont en possession de documents suffisants pour rentrer dans leur pays ou, à tout le moins, sont tenus d'entreprendre, en collaboration avec les autorités cantonales d'exécution du renvoi, toute démarche nécessaire auprès de la représentation de leur pays d'origine en vue de l'obtention de documents de voyage leur permettant de quitter la Suisse (art. 8 al. 4 LAsi). L'exécution du renvoi ne se heurte donc pas à des obstacles insurmontables d'ordre technique et s'avère également possible au sens de l'art. 83 al. 2 LEtr.</w:t>
      </w:r>
    </w:p>
    <w:p>
      <w:r>
        <w:rPr>
          <w:b/>
        </w:rPr>
        <w:t>E. 7</w:t>
      </w:r>
    </w:p>
    <w:p>
      <w:r>
        <w:t>Il s'ensuit que le recours doit être rejeté.</w:t>
      </w:r>
    </w:p>
    <w:p>
      <w:r>
        <w:rPr>
          <w:b/>
        </w:rPr>
        <w:t>E. 8</w:t>
      </w:r>
    </w:p>
    <w:p>
      <w:r>
        <w:t>Au vu de l'issue de la cause, il y a lieu de mettre les frais de procédure à la charge des recourants, conformément aux art. 63 al. 1 PA et 2 et 3 let. b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