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D-7159/2010 vom 20. Januar 2011</w:t>
      </w:r>
    </w:p>
    <w:p>
      <w:r>
        <w:t>Bundesverwaltungsgericht, 2011-01-20, DE</w:t>
      </w:r>
    </w:p>
    <w:p>
      <w:r>
        <w:rPr>
          <w:b/>
        </w:rPr>
        <w:t xml:space="preserve">Quelle: </w:t>
      </w:r>
      <w:r>
        <w:t>https://mcp.opencaselaw.ch/entscheid/bvger_D-7159_2010</w:t>
      </w:r>
    </w:p>
    <w:p>
      <w:r>
        <w:t>FR: TAF D-7159/2010 du 20 janvier 2011</w:t>
      </w:r>
    </w:p>
    <w:p>
      <w:r>
        <w:t>IT: TAF D-7159/2010 del 20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somit - unter Vorbehalt der nachfolgenden Erwägungen - einzutreten.</w:t>
      </w:r>
    </w:p>
    <w:p>
      <w:r>
        <w:rPr>
          <w:b/>
        </w:rPr>
        <w:t>E. 1.4</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dem von der Beschwerdeführerin geltend gemachten Asylvorbringen, wonach sie in Syrien von ihrem Vater hätte zwangsverheiratet werden sollen, weswegen sie sich zur Flucht entschieden habe, die Glaubhaftigkeit abgesprochen. Nachfolgend ist zu prüfen, ob die Vorinstanz dieses Vorbringen der Beschwerdeführerin zu Recht als unglaubhaft im Sinne von Art. 7 AsylG beurteilt hat.</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EMARK Nr. 28 E. 3a S. 270).</w:t>
      </w:r>
    </w:p>
    <w:p>
      <w:r>
        <w:rPr>
          <w:b/>
        </w:rPr>
        <w:t>E. 4.3</w:t>
      </w:r>
    </w:p>
    <w:p>
      <w:r>
        <w:t>Vorab ist festzustellen, dass die Beschwerdeführerin den Wortlaut der Protokolle mit ihrer Unterschrift bestätigt hat und sich deshalb ihre Aussagen grundsätzlich entgegenhalten lassen muss.</w:t>
      </w:r>
    </w:p>
    <w:p>
      <w:r>
        <w:rPr>
          <w:b/>
        </w:rPr>
        <w:t>E. 4.4</w:t>
      </w:r>
    </w:p>
    <w:p>
      <w:r>
        <w:t>In Übereinstimmung mit der Vorinstanz ist festzuhalten, dass es nicht nachvollziehbar ist, dass die Beschwerdeführerin anlässlich der Anhörung nicht wusste, wie der Mann, mit dem sie ihr Vater angeblich verheiraten wollte, heisst und wie alt er ist (Akten BFM A 8/19, S. 9, 11). Mit Sicherheit hätte die Beschwerdeführerin darüber Auskunft geben können, hätte ihr Vater tatsächlich beabsichtigt, sie zu verheiraten, zumal es sich beim Namen und dem Alter des zukünftigen Ehepartners um wesentliche Informationen handelt, deren Kenntnis für sie von gewichtigem Interesse sein musste. Das Vorbringen der Beschwerdeführerin, wonach ihre Mutter ihr den Namen des alten Mannes nicht mitgeteilt habe und sie - die Beschwerdeführerin - nicht daran gedacht habe, nach seinem Namen zu fragen (Akten BFM A 8/19, S. 15), ist unglaubhaft und vermag das Nichtwissen nicht plausibel zu machen beziehungsweise zu erklären. Gegen die Glaubhaftigkeit der angeblich beabsichtigten Zwangsheirat spricht auch die Aussage der Beschwerdeführerin, wonach sie - nachdem sie von ihrer Mutter darüber informiert worden sei - während den zwanzig Tage bis zu ihrer Ausreise aus Syrien nie mit ihrem Vater über die geplante Hochzeit gesprochen habe (Akten BFM A 8/19, S. 13), zumal anzunehmen ist, dass sie zumindest versucht hätte, ihren Vater umzustimmen, hätte er sie tatsächlich verheiraten wollen. Die Behauptung der Beschwerdeführerin, wonach sie sich geschämt habe, mit ihrem Vater darüber zu sprechen (Akten BFM A 8/19, S. 13), vermag nicht zu überzeugen. Zudem ist davon auszugehen, dass ihr Vater in den zwanzig Tagen bis zu ihrer Flucht von sich aus mit ihr über die Hochzeit gesprochen hätte, um ihre Stimmungslage zu erkunden, umso mehr als die Beschwerdeführerin vor ihrer Ausreise aus dem Heimatland mit ihrem Vater im gleichen Haus gelebt haben will. Zweifelhaft ist die behauptete Zwangsheirat auch deshalb, da sich die Beschwerdeführerin im Zusammenhang mit der Bedenkzeit unstimmig geäussert hat: Zuerst sagte sie nämlich aus, dass es in ihrer Heimat Brauch sei, dass man der Person, die man heiraten wolle, 15 Tage Bedenkzeit gebe (Akten BFM A 8/19, S. 11). Kurz darauf gab sie jedoch zu Protokoll, ihr Vater habe bereits "ja" gesagt, als ihre Mutter sie über die bevorstehende Zwangsheirat orientiert habe (Akten BFM A 8/19, S. 11), was dem von der Beschwerdeführerin geschilderten Brauchtum aber klar widerspricht, zumal der Vater der Beschwerdeführerin dadurch die Bedenkfrist nicht abgewartet hätte. Übereinstimmend mit der Vorinstanz ist überdies festzustellen, dass die Beschwerdeführerin anlässlich der Befragungen unsubstanziierte Angaben zu ihrem Reiseweg in die Schweiz machte. Sie gab zwar an, von Istanbul mit dem Flugzeug gereist zu sein. Sie konnte jedoch weder den Zielort des ersten Fluges noch denjenigen des zweiten Fluges nennen, von wo sie mit dem Auto ins EVZ Basel gelangt sei (Akten BFM A 1/9, S. 6). Die in der Rechtsmittelschrift vorgebrachte Erklärung für ihr Unwissen (mangelnde Bildung, fehlende Sprachkenntnisse) vermag nicht zu überzeugen, zumal Flugpassagiere auf Reisen dauernd - auch akustisch - über den Namen des Zielflughafens orientiert werden. Überdies ist davon auszugehen, dass sie sich bei ihrem Schlepper über den Reiseweg erkundigt hat. Zudem hat die Beschwerdeführerin völlig unsubstanziierte Aussagen bezüglich der von ihr verwendeten Reisepapiere gemacht (Akten BFM A 8/19, S. 5 f.), weshalb anzunehmen ist, dass sie ihren tatsächlichen Reiseweg gegenüber den schweizerischen Behörden zu verheimlichen sucht. Entgegen dem Vorbringen der Beschwerdeführerin in der Rechtsmittelschrift lassen falsche Angaben bezüglich des Reiseweges beziehungsweise zu den dabei verwendeten Papieren sehr wohl Rückschlüsse auf die Glaubhaftigkeit einer geltend gemachten Verfolgung zu (vgl. EMARK 1998 Nr. 17 S. 150). An dieser Einschätzung vermag auch die Behauptung der Beschwerdeführerin in der Rechtsmittelschrift, wonach häufig zu beobachten sei, dass gerade tatsächlich verfolgte Personen aus Angst den Reiseweg nicht im Detail bekannt geben würden, um sich zu schützen, nichts zu ändern, zumal die Beschwerdeführerin anlässlich der Kurzbefragung beziehungsweise der Anhörung ausdrücklich auf ihre Wahrheitspflicht aufmerksam gemacht worden ist. Das Bundesverwaltungsgericht gelangt daher nach Prüfung der gesamten Akten in Übereinstimmung mit dem BFM zum Ergebnis, dass es der Beschwerdeführerin nicht gelungen ist, die von ihr vorgebrachte Behauptung, wonach sie in Syrien von ihrem Vater hätte zwangsverheiratet werden sollen, weswegen sie sich zur Flucht entschieden habe, glaubhaft zu machen.</w:t>
      </w:r>
    </w:p>
    <w:p>
      <w:r>
        <w:rPr>
          <w:b/>
        </w:rPr>
        <w:t>E. 5.1</w:t>
      </w:r>
    </w:p>
    <w:p>
      <w:r>
        <w:t>Soweit die Beschwerdeführerin überdies geltend macht, sie werde als Maktumin in Syrien in vielen Bereichen des Lebens diskriminiert, ist festzuhalten, dass für die Begründetheit eines Asylgesuchs das Erfordernis einer gezielten und genügend intensiven Verfolgung besteht und es nicht ausreicht, auf die allgemeine schlechte Menschenrechtslage im Herkunftsland oder die systematische Benachteiligung der eigenen Volks­gruppe hinzuweisen. Der Beschwerdeführerin ist es nicht gelungen, eine Verfolgung durch ihre Familie glaubhaft zu machen. Es ist deshalb nachfolgend zu prüfen, ob die allgemeine Situation der Kurden in Syrien zur Annahme einer Kollektivverfolgung führt.</w:t>
      </w:r>
    </w:p>
    <w:p>
      <w:r>
        <w:rPr>
          <w:b/>
        </w:rPr>
        <w:t>E. 5.2</w:t>
      </w:r>
    </w:p>
    <w:p>
      <w:r>
        <w:t>Die Anforderungen an die Feststellung einer Kollektivverfolgung sind gemäss Rechtsprechung der Schweizerischen Asylrekurskommission (ARK), die auch für das Bundesverwaltungsgericht Geltung behält, sehr hoch (vgl. dazu EMARK 1993 Nrn. 9 und 10 betreffend syrisch-orthodoxe Christen in der Türkei [bestätigt in EMARK 1997 Nr. 12]; EMARK 1993 Nr. 20 betreffend Kurden in der Türkei; EMARK 1995 Nr. 1 betreffend Yeziden in der Türkei; EMARK 1995 Nr. 17 betreffend die christlich-assyrische Minderheit in Syrien; EMARK 1996 Nrn. 21 und 22 betreffend Ahmadis in Pakistan [bestätigt in EMARK 2002 Nr. 3]; EMARK 1996 Nr. 23 betreffend Christen in Pakistan; EMARK 1997 Nr. 14 betreffend Muslime in Srebrenica, Bosnien-Herzegowina; EMARK 1998 Nr. 16 betreffend Tutsis in Ruanda; EMARK 2001 Nr. 13 betreffend Roma und Ashkali im Kosovo; EMARK 2006 Nr. 1 betreffend Tibeter in China).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beurteilt werden können. Bei der begründeten Furcht gilt es zu berücksichtigen, dass eine allgemein bekannte Gefährdung einer ganzen Bevölkerungsgruppe die Wahrscheinlichkeit, dass ein Angehöriger des Kollektivs tatsächlich einer Gefährdung ausgesetzt sein könnte, erhöht. Der begründeten Furcht kommt eine Doppelnatur in dem Sinn zu, dass sie einerseits individuell gegen den Betroffenen gerichtete Massnahmen erfordert, anderseits aber für die Anerkennung der Flüchtlingseigenschaft auch genügen lässt, wenn Personen verfolgt wurden, die sich in der gleichen Situation wie der Betroffene befanden (vgl. EMARK 1995 Nr. 1 S. 10 f. mit dortigen Literaturhinweisen; EMARK 2006 Nr. 1 E. 4.3 S. 3 f.).</w:t>
      </w:r>
    </w:p>
    <w:p>
      <w:r>
        <w:rPr>
          <w:b/>
        </w:rPr>
        <w:t>E. 5.3</w:t>
      </w:r>
    </w:p>
    <w:p>
      <w:r>
        <w:t>Die Kurden stellen die grösste nicht-arabische Minderheit in Syrien dar. Es wird - je nach Quelle - von insgesamt etwa 1 - 2 Millionen Kurden ausgegangen, was entsprechend 5 - 10% der Bevölkerung ausmacht. Die syrischen Kurden bilden keine homogene Gruppe; sie besitzen nicht alle dieselben Rechte in der "Arabischen Republik Syrien". Es lassen sich insbesondere folgende zwei Kategorien unterscheiden: Die Kurden mit syrischer Staatsbürgerschaft und die Gruppe der staatenlosen Kurden syrischer Herkunft, die wiederum in registrierte beziehungsweise nicht registrierte Kurden (sogenannte Ajanib beziehungsweise Maktumin) zu unterteilen ist.</w:t>
      </w:r>
    </w:p>
    <w:p>
      <w:r>
        <w:rPr>
          <w:b/>
        </w:rPr>
        <w:t>E. 5.4</w:t>
      </w:r>
    </w:p>
    <w:p>
      <w:r>
        <w:t>Vorliegend ist davon auszugehen, dass es sich bei der Beschwerdeführerin um eine Maktumin handelt. Damit gehört sie innerhalb ihrer Volkszugehörigkeit zur am schlechtesten gestellten Gruppe. Gemäss geltender Rechtsprechung der Asylbehörden unterliegen jedoch selbst staatenlose Kurden (Ajanib und Maktumin) in Syrien keiner Kollektivverfolgung. Vielmehr hat die vormalige ARK in EMARK 2002 Nr. 23 festgestellt, dass die Rechtsstellung von staatenlosen Kurden syrischer Herkunft den Wegweisungsvollzug nicht als unzumutbar erscheinen lasse. Von staatlichen Repressionen, die ein menschenwürdiges Leben verunmöglichen würden, kann demnach weder für die Beschwerdeführerin individuell noch für die Kurden in Syrien generell gesprochen werden.</w:t>
      </w:r>
    </w:p>
    <w:p>
      <w:r>
        <w:rPr>
          <w:b/>
        </w:rPr>
        <w:t>E. 5.5</w:t>
      </w:r>
    </w:p>
    <w:p>
      <w:r>
        <w:t>Zusammenfassend ist festzuhalten, dass es der Beschwerdeführerin nicht gelungen ist, für den Zeitpunkt ihrer Ausreise aus Syrien eine Verfolgung im Sinne von Art. 3 AsylG nachzuweisen oder glaubhaft zu machen.</w:t>
      </w:r>
    </w:p>
    <w:p>
      <w:r>
        <w:rPr>
          <w:b/>
        </w:rPr>
        <w:t>E. 6.1</w:t>
      </w:r>
    </w:p>
    <w:p>
      <w:r>
        <w:t>In der Eingabe vom 4. November 2010 machte die Beschwerdeführerin sinngemäss geltend, sie habe sich in der Schweiz exilpolitisch betätigt, weshalb sie sich zusätzlich auf subjektive Nachfluchtgründe im Sinne von Art. 54 AsylG berufe. Zum Beweis ihrer exilpolitischen Tätigkeiten reichte sie Dokumente zu den Akten (vgl. Bst. L. vorstehend).</w:t>
      </w:r>
    </w:p>
    <w:p>
      <w:r>
        <w:rPr>
          <w:b/>
        </w:rPr>
        <w:t>E. 6.2</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w:t>
      </w:r>
    </w:p>
    <w:p>
      <w:r>
        <w:rPr>
          <w:b/>
        </w:rPr>
        <w:t>E. 6.3</w:t>
      </w:r>
    </w:p>
    <w:p>
      <w:r>
        <w:t>Von der Beschwerdeführerin wird geltend gemacht, sie sei Mitglied der Demokratischen Progressiven Partei in Syrien und habe an einer regimekritischen Kundgebung in G._______ vom 5. Oktober 2010 teilgenommen, an der sie regimekritische Flugblätter verteilt habe.</w:t>
      </w:r>
    </w:p>
    <w:p>
      <w:r>
        <w:rPr>
          <w:b/>
        </w:rPr>
        <w:t>E. 6.4</w:t>
      </w:r>
    </w:p>
    <w:p>
      <w:r>
        <w:t>Die syrischen Sicherheits- und Geheimdienste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Bei realistischer Betrachtung ist davon auszugehen, dass eine solche Spitzeltätigkeit sich auf die Erfassung von Personen konzentriert, welche im Ausland Funktionen wahrnehmen und Aktivitäten entwickeln, die sie als ernsthafte und potentiell gefährliche Regimegegner erscheinen lassen. Dass die syrischen Sicherheitsbehörden ihrerseits bei der Auswertung zugetragener Informationen zwischen tatsächlich politisch engagierten Regimekritikern und Exilaktivisten, die mit ihren Aktionen in erster Linie die Chancen auf ein Aufenthaltsrecht im Ausland zu erhöhen versuchen, zu unterscheiden vermögen, darf vorausgesetzt werden.</w:t>
      </w:r>
    </w:p>
    <w:p>
      <w:r>
        <w:rPr>
          <w:b/>
        </w:rPr>
        <w:t>E. 6.5</w:t>
      </w:r>
    </w:p>
    <w:p>
      <w:r>
        <w:t>Gemäss den Akten hat die Beschwerdeführerin seit ihrer Einreise in die Schweiz lediglich an einer regimekritischen Kundgebung teilgenommen, wo sie Flugblätter verteilt haben will. Als Beweis dafür reichte sie verschiedene Ausdrucke von im Internet veröffentlichten Fotos beziehungsweise Originalfotos ein, die sie als Teilnehmerin an der Kundgebung in G._______ vom 5. Oktober 2010 zeigt. Diesbezüglich ist festzuhalten, dass die Wahrscheinlichkeit, dass die Beschwerdeführerin anhand dieser Fotografien von den syrischen Geheimdiensten wahrgenommen und erkannt worden ist, nur gering ist. Dies insbesondere auch deshalb, weil in der Schweiz unzählige exilpolitische Anlässe durchgeführt werden, sodass es den syrischen Behörden unmöglich sein dürfte, alle diese Anlässe genau zu überwachen. Inwiefern sie aus der Masse der exilpolitischen aktiven Kurdinnen und Kurden hervorgetreten sein und dadurch wahrscheinlich eine Registrierung durch die syrischen Behörden bewirkt haben sollte, ist nicht einzusehen. Durch die blosse Teilnahme an einer Kundgebung, an der sie Flugblätter verteilt haben will, hebt sie sich nicht von der breiten Masse der exilpolitisch tätigen Kurden ab. An dieser Einschätzung ändert auch das eingereichte Bestätigungsschreiben der Kurdischen Demokratischen Progressiven Partei in Syrien Deutsche Organisation vom 4. Oktober 2010 nichts, werden in diesem Schreiben doch nicht konkrete Aktivitäten der Beschwerdeführerin aufgeführt, sondern lediglich pauschal auf Aktivitäten verwiesen, an denen sie teilgenommen haben soll. Da zudem aufgrund des unspezifischen Inhalts des Schreibens von einem Gefälligkeitsschreiben auszugehen ist, ist es nicht geeignet, eine Gefährdung der Beschwerdeführerin durch den syrischen Staat wahrscheinlich zu machen. Insgesamt lassen die eingereichten Beweismittel nicht auf ein wesentliches exilpolitisches Engagement der Beschwerdeführerin schliessen, aufgrund dessen diese damit rechnen müsste, dass sie dem syrischen Geheimdienst als ernsthafte Regimegegnerin aufgefallen und entsprechend registriert worden wäre. Dieser Einschätzung liegt die Erkenntnis zugrunde, dass nicht primär das Hervortreten im Sinne einer optischen Erkennbarkeit, sondern die Fähigkeit zu einem Verhalten in der Öffentlichkeit massgebend ist,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Damaskus dar. Ein dermassen erhöhter Exponierungsgrad kann der Beschwerdeführerin klarerweise nicht bescheinigt werden. Den Akten sind denn auch keine Anhaltspunkte dafür zu entnehmen, dass in Syrien gegen sie aufgrund der geltend gemachten Mitgliedschaft in der Kurdischen Demokratischen Progressiven Partei in Syrien sowie der vorgebrachten exilpolitischen Aktivitäten behördliche Massnahmen eingeleitet worden wären. Daher ist mit überwiegender Wahrscheinlichkeit davon auszugehen, dass die Beschwerdeführerin bei der Rückkehr nach Syrien nicht mit einer ernsthaften Benachteiligung seitens der dortigen Behörden zu rechnen hat. Daran ändert auch die Tatsache nichts, dass die Beschwerdeführerin in der Schweiz um Asyl nachgesucht hat, da keine Anhaltspunkte dafür bestehen, dass die Einreichung eines Asylgesuchs für sich alleine bei einer Rückkehr nach Syrien regelmässig zu behördlicher Verfolgung führt. Auch der Umstand, dass die Beschwerdeführerin illegal aus Syrien ausgereist ist, führt nicht dazu, dass davon auszugehen ist, dass sie bei ihrer Rückkehr deswegen mit asylrechtlich relevanten Nachteilen zu rechnen hätte. Es ist daher festzustellen, dass die Beschwerdeführerin die Flüchtlingseigenschaft auch unter dem Aspekt der subjektiven Nachfluchtgründe nicht erfüllt.</w:t>
      </w:r>
    </w:p>
    <w:p>
      <w:r>
        <w:rPr>
          <w:b/>
        </w:rPr>
        <w:t>E. 7</w:t>
      </w:r>
    </w:p>
    <w:p>
      <w:r>
        <w:t>Zusammenfassend ist somit festzuhalten, dass die Asylvorbringen der Beschwerdeführerin den Anforderungen an das Glaubhaftmachen beziehungsweise die Asylrelevanz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Das BFM hat das Asylgesuch der Beschwerdeführerin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vgl. Entscheide des Schweizerischen Bundesverwaltungsgerichts [BVGE] 2008/34 E.9.2).</w:t>
      </w:r>
    </w:p>
    <w:p>
      <w:r>
        <w:rPr>
          <w:b/>
        </w:rPr>
        <w:t>E. 9</w:t>
      </w:r>
    </w:p>
    <w:p>
      <w:r>
        <w:t>Das BFM hat in der angefochtenen Verfügung den Vollzug der angeordneten Wegweisung wegen Unzumutbarkeit zu Gunsten einer vorläufigen Aufnahme aufgeschoben. 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(ab- und weggewiesenen) Asylsuchenden wiederum die Beschwerde an das Bundesverwaltungsgericht offen, wobei in jenem Verfahren sämtliche drei Vollzugshindernisse von Amtes wegen und nach Massgabe der dannzumal herrschenden Verhältnisse von Neuem zu prüfen sind (BVGE 2009/51 E. 5.4). Demnach ist, solange die von der Vorinstanz verfügte vorläufige Aufnahme wegen Unzumutbarkeit des Wegweisungsvollzugs weiterbesteht, kein Rechtsschutzinteresse der Beschwerdeführerin an der Prüfung der Frage der Zulässigkeit des Wegweisungsvollzugs gegeben. Entsprechend ist auf den Eventualantrag, es sei die angefochtene Verfügung aufzuheben und die Unzulässigkeit ihres Wegweisungsvollzugs festzustellen, nicht einzutreten.</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11</w:t>
      </w:r>
    </w:p>
    <w:p>
      <w:r>
        <w:t>Bei diesem Ausgang des Verfahrens sind die Kosten der Beschwerdeführerin aufzuerlegen (Art. 63 Abs. 1 und 5 VwVG), auf insgesamt Fr. 600.-- festzusetzen (Art. 1-3 des Reglements vom 21. Februar 2008 über die Kosten und Entschädigungen vor dem Bundesverwaltungsgericht [VGKE, SR 173.320.2]) und mit dem am 29. Oktober 2010 in gleicher Höhe geleisteten Kostenvorschuss zu verrechnen.</w:t>
      </w:r>
    </w:p>
    <w:p>
      <w:r>
        <w:rPr>
          <w:b/>
        </w:rPr>
        <w:t>E. 12</w:t>
      </w:r>
    </w:p>
    <w:p>
      <w:r>
        <w:t>Bei dieser Sachlage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