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D-7158/2023 vom 14. Dezember 2023</w:t>
      </w:r>
    </w:p>
    <w:p>
      <w:r>
        <w:t>Bundesverwaltungsgericht, 2023-12-14, DE</w:t>
      </w:r>
    </w:p>
    <w:p>
      <w:r>
        <w:rPr>
          <w:b/>
        </w:rPr>
        <w:t xml:space="preserve">Quelle: </w:t>
      </w:r>
      <w:r>
        <w:t>https://mcp.opencaselaw.ch/entscheid/bvger_D-7158_2023_d20231214</w:t>
      </w:r>
    </w:p>
    <w:p>
      <w:r>
        <w:t>FR: TAF D-7158/2023 du 14 décembre 2023</w:t>
      </w:r>
    </w:p>
    <w:p>
      <w:r>
        <w:t>IT: TAF D-7158/2023 del 14 dicembre 2023</w:t>
      </w:r>
    </w:p>
    <w:p>
      <w:pPr>
        <w:pStyle w:val="Heading2"/>
      </w:pPr>
      <w:r>
        <w:t>Regeste</w:t>
      </w:r>
    </w:p>
    <w:p>
      <w:r>
        <w:t>Nichteintreten auf Asylgesuch und Wegweisung (Wiedererw&amp;auml;gung) | Nichteintreten auf Asylgesuch und Wegweisung (Wiedererwägung); Verfügung des SEM vom 14. Dezember 2023</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w:t>
      </w:r>
    </w:p>
    <w:p>
      <w:r>
        <w:t>D-7158/2023 Seite 5 schwerde zuständig. Es entscheidet auf dem Gebiet des Asyls – in der Re- gel und auch vorliegend – endgültig (vgl.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(vgl.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Auf die Durchführung eines Schriftenwechsels wurde verzichtet (Art. 111a Abs. 1 AsylG).</w:t>
      </w:r>
    </w:p>
    <w:p>
      <w:r>
        <w:rPr>
          <w:b/>
        </w:rPr>
        <w:t>E. 4.1</w:t>
      </w:r>
    </w:p>
    <w:p>
      <w:r>
        <w:t>Das SEM begründet seinen Entscheid im Wesentlichen damit, dass es sich bei den eingereichten Unterlagen zumeist um Nachweise von kurzen, zeitlich punktuellen Ereignissen handle. Ferner seien die Unterlagen nicht personalisiert, leicht zu fälschen und/oder gegen Zahlung erhältlich.</w:t>
      </w:r>
    </w:p>
    <w:p>
      <w:r>
        <w:rPr>
          <w:b/>
        </w:rPr>
        <w:t>E. 4.2</w:t>
      </w:r>
    </w:p>
    <w:p>
      <w:r>
        <w:t>Weiter mache der Beschwerdeführer keine Angaben, unter welchen Umständen und mit welchen Dokumenten er angeblich von der Schweiz nach Serbien gereist sei. Gemäss seinen Angaben sei er von Serbien nach Montenegro und zurück nach Serbien gereist, um am 6. November 2023 versteckt in einem Lastwagen zurück in die Schweiz zu gelangen. Bei einer solchen Reise auf dem Landweg hätte er mehrfach die besonders kontrol- lierte Schengen-Aussengrenze und die serbische Grenze überschreiten müssen, ohne dass er im Besitz von gültigen Dokumenten gewesen sei. Weiter würden jegliche Angaben über seine Beweggründe für eine Reise nach Serbien beziehungsweise Montenegro fehlen. Ferner würden über die Umstände respektive den Ablauf seiner Ausreise aus und die Wieder- einreise in den Dublin-Raum keine genauen Angaben vorliegen. Vor dem Hintergrund, dass eine illegale Reise aus Serbien in die Schweiz (bezie- hungsweise umgekehrt) aufwändig, kostspielig und risikobehaftet sei, wür-</w:t>
      </w:r>
    </w:p>
    <w:p>
      <w:r>
        <w:t>D-7158/2023 Seite 6 den seine geltend gemachten Reisen weder ökonomisch noch rational plausibel erscheinen.</w:t>
      </w:r>
    </w:p>
    <w:p>
      <w:r>
        <w:rPr>
          <w:b/>
        </w:rPr>
        <w:t>E. 4.3</w:t>
      </w:r>
    </w:p>
    <w:p>
      <w:r>
        <w:t>Darüber hinaus hätten die eingereichten Quittungen und der Handy- vertrag keinen Beweiswert. Es handle sich bei diesen Unterlagen nicht um offizielle Dokumente, sondern um Papiere, welche leicht zu fälschen seien oder käuflich erworben werden könnten. Die diversen Kaufhausquittungen seien nicht personalisiert, ausserdem hätte auch eine andere Person sei- nen Namen für den Kauf eines Mobiltelefons angeben können. Zudem falle auf, dass der Name des Käufers auf der Quittung für das Smartphone aus nicht erkennbarem Grund in einer anderen Handschrift als der Rest des Vertrages geschrieben sei. Da beim Namen offensichtlich zuerst ein Schreibfehler begangen worden sei, sei unwahrscheinlich, dass der Be- schwerdeführer selbst den Namen eingefügt habe. Es sei nicht verständ- lich, weshalb zwei verschiedene Personen die Quittung ausgefüllt haben sollten. Anlässlich des Dublin-Gesprächs vom 2. Mai 2023 habe der Be- schwerdeführer erklärt, dass er in Deutschland kein Asylgesuch habe ein- reichen wollen. Damit habe er zum Ausdruck gebracht, dass er denjenigen Mitgliedstaat, der sein Asylgesuch prüfen soll, selber auswählen möchte. Mit seinem Wiedererwägungsgesuch versuche er nun offenkundig, den Zu- ständigkeitsübergang von Deutschland auf die Schweiz zu erwirken.</w:t>
      </w:r>
    </w:p>
    <w:p>
      <w:r>
        <w:rPr>
          <w:b/>
        </w:rPr>
        <w:t>E. 4.4</w:t>
      </w:r>
    </w:p>
    <w:p>
      <w:r>
        <w:t>Den eingereichten Zug- und Bustickets komme ebenfalls kein Beweis- wert zu, zumal diese weder einen Rückschluss auf den anschliessenden Aufenthaltsort erlaubten, noch als Nachweis für eine tatsächlich angetre- tene Reise taugten. Entsprechende Tickets könnten einfach über das In- ternet und unter Beihilfe von Dritten verfügbar gemacht werden.</w:t>
      </w:r>
    </w:p>
    <w:p>
      <w:r>
        <w:rPr>
          <w:b/>
        </w:rPr>
        <w:t>E. 4.5</w:t>
      </w:r>
    </w:p>
    <w:p>
      <w:r>
        <w:t>Auch der eingereichten Hotelrechnung komme kein Beweiswert zu, zu- mal diese keinen Rückschluss auf seinen tatsächlichen damaligen Aufent- haltsort gebe. So könne eine solche auch über das Internet und unter Bei- hilfe von Dritten verfügbar gemacht werden oder leicht gefälscht und käuf- lich erworben werden. Eine Hotelübernachtung könne auch gebucht und in Rechnung gestellt werden, ohne dass der angebliche Gast jemals vor Ort anwesend gewesen sei. Weiter falle auf, dass die Hotelrechnung am 7. No- vember 2023 ausgestellt worden sei. Gemäss den Angaben des Be- schwerdeführers habe er Montenegro jedoch bereits am 31. Oktober 2023 verlassen. Somit sei die Rechnung insgesamt nicht tauglich, den behaup- teten, mehrmonatigen Aufenthalt ausserhalb des Dublin-Raums zweifels- frei nachzuweisen.</w:t>
      </w:r>
    </w:p>
    <w:p>
      <w:r>
        <w:t>D-7158/2023 Seite 7</w:t>
      </w:r>
    </w:p>
    <w:p>
      <w:r>
        <w:rPr>
          <w:b/>
        </w:rPr>
        <w:t>E. 5.1</w:t>
      </w:r>
    </w:p>
    <w:p>
      <w:r>
        <w:t>Diesen Vorhaltungen des SEM entgegnet der Beschwerdeführer, er habe als Beweismittel eine Hotelrechnung mit QR-Code zu den Akten ein- gereicht. Eine solche könne nicht leicht verfälscht werden. Ferner sei mit dem Hotelinhaber abgeklärt worden, dass die Rechnung ein Original sei und die QR-Codes nicht verfälscht worden seien.</w:t>
      </w:r>
    </w:p>
    <w:p>
      <w:r>
        <w:rPr>
          <w:b/>
        </w:rPr>
        <w:t>E. 5.2</w:t>
      </w:r>
    </w:p>
    <w:p>
      <w:r>
        <w:t>Bezüglich des Reisewegs gab der Beschwerdeführer an, er sei mit dem Zug von Zürich nach Wien gefahren und von dort abermals mit dem Zug weiter nach Ungarn. Die ungarische Polizei habe ihn an die Grenze nach B._______ in Serbien geführt. Für diese Reise habe er nur ein Ticket und keine weiteren Dokumente benötigt.</w:t>
      </w:r>
    </w:p>
    <w:p>
      <w:r>
        <w:rPr>
          <w:b/>
        </w:rPr>
        <w:t>E. 5.3</w:t>
      </w:r>
    </w:p>
    <w:p>
      <w:r>
        <w:t>Als Grund für die Reise gab er an, dass er Angst habe, von Deutsch- land in die Türkei ausgeschafft zu werden. Ein Freund von ihm sei 2017 von Deutschland nach Rumänien und anschliessend in die Türkei aus- geschafft worden, wo dieser verhaftet worden sei. Deswegen habe er, der Beschwerdeführer, grosse Angst und dies habe ihn dazu veranlasst, die Reise nach Serbien und Montenegro auf sich zu nehmen.</w:t>
      </w:r>
    </w:p>
    <w:p>
      <w:r>
        <w:rPr>
          <w:b/>
        </w:rPr>
        <w:t>E. 5.4</w:t>
      </w:r>
    </w:p>
    <w:p>
      <w:r>
        <w:t>Bezüglich des Kaufbelegs des Mobiltelefons gab er an, dass die Aus- sprache seines Namens schwierig sei. Deshalb habe schliesslich ein zwei- ter Mitarbeiter des Ladens den Namen aufgeschrieben.</w:t>
      </w:r>
    </w:p>
    <w:p>
      <w:r>
        <w:rPr>
          <w:b/>
        </w:rPr>
        <w:t>E. 6.1</w:t>
      </w:r>
    </w:p>
    <w:p>
      <w:r>
        <w:t>Gemäss konstanter Rechtsprechung unterscheidet das Bundesverwal- tungsgericht bei Folgegesuchen nach einem rechtskräftigen Dublin-Nicht- eintretensentscheid gemäss Art. 31a Abs. 1 Bst. b AsylG, ob der Gesuch- steller bereits in den zuständigen Mitgliedstaat überstellt wurde oder nicht. Sofern die Überstellung noch nicht erfolgt ist, ist das Gesuch – vorbehält- lich allfälliger Revisionsgründe (vgl. BVGE 2013/22 E. 3-13) – als Wieder- erwägungsgesuch nach Art. 111b AsylG zu behandeln und der ursprüngli- che Nichteintretensentscheid bleibt vollstreckbar. Andernfalls ist das Ge- such als Mehrfachgesuch nach Art. 111c AsylG entgegenzunehmen und ein neues Dublin-Verfahren ist durchzuführen (vgl. zum Ganzen BVGE 2017 VI/5 E. 4.3 ff.).</w:t>
      </w:r>
    </w:p>
    <w:p>
      <w:r>
        <w:rPr>
          <w:b/>
        </w:rPr>
        <w:t>E. 6.2</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t>D-7158/2023 Seite 8 In seiner praktisch relevantesten Form bezweckt das Wiedererwägungs- gesuch die Änderung einer ursprünglich fehlerfreien Verfügung an eine nachträglich eingetretene erhebliche Veränderung der Sachlage (vgl. BVGE 2014/39 E. 4.5 m.w.H.).</w:t>
      </w:r>
    </w:p>
    <w:p>
      <w:r>
        <w:rPr>
          <w:b/>
        </w:rPr>
        <w:t>E. 6.3</w:t>
      </w:r>
    </w:p>
    <w:p>
      <w:r>
        <w:t>Mit einem Wiedererwägungsgesuch nach einem rechtskräftigen Dub- lin-Nichteintretensentscheid können grundsätzlich nur allfällige Über- stellungshindernisse geltend gemacht werden und es kann nicht die Be- stimmung des zuständigen Mitgliedstaats in Frage gestellt werden (vgl. BVGE 2017 VI/5 E. 4.3.1). Ein allfälliges nachträgliches Erlöschen der Zu- ständigkeit muss jedoch – wie nachfolgend aufgezeigt wird – auch dann berücksichtigt werden, wenn die ursprünglich angeordnete Überstellung in den zuständigen Mitgliedstaat noch nicht erfolgt ist.</w:t>
      </w:r>
    </w:p>
    <w:p>
      <w:r>
        <w:rPr>
          <w:b/>
        </w:rPr>
        <w:t>E. 6.3.1</w:t>
      </w:r>
    </w:p>
    <w:p>
      <w:r>
        <w:t>Gemäss Art. 19 Abs. 2 Dublin-III-VO erlöschen die Pflichten nach Art. 18 Abs. 1 Dublin-III-VO, wenn der zuständige Mitgliedstaat nach- weisen kann, dass der Antragsteller oder eine andere Person im Sinne von Art. 18 Abs. 1 Bst. c oder d, um dessen/deren Aufnahme oder Wieder- aufnahme ersucht wurde, das Hoheitsgebiet der Mitgliedstaat für mindes- tens drei Monate verlassen hat, es sei denn, die betreffende Person ist im Besitz eines vom zuständigen Mitgliedstaat ausgestellten gültigen Aufent- haltstitels. Ein nach dieser Periode der Abwesenheit gestellter Antrag gilt als neuer Antrag, der ein neues Verfahren zur Bestimmung des zuständi- gen Mitgliedstaats auslöst (Art. 19 Abs. 2 UAbs. 2 Dublin-III-VO).</w:t>
      </w:r>
    </w:p>
    <w:p>
      <w:r>
        <w:rPr>
          <w:b/>
        </w:rPr>
        <w:t>E. 6.3.2</w:t>
      </w:r>
    </w:p>
    <w:p>
      <w:r>
        <w:t>Den Nachweis, dass die betreffende Person das Hoheitsgebiet der Mitgliedstaaten für mindestens drei Monate verlassen hat, hat laut Art. 19 Abs. 2 Dublin-III-VO der zuständige Mitgliedstaat zu erbringen. Dazu sind dem zuständigen Mitgliedstaat relevante Vorbringen des Antragsstellers zu übermitteln, denn nur so kann der Mitgliedstaat informiert das allfällige Vor- liegen des Beendigungstatbestandes des Artikels 19 Absatz 2 Dublin-III- VO beurteilen und die formelle Zuweisung der Beweislast an ihn inhaltlich gerechtfertigt werden (CHRISTIAN FILZWIESER/ANDREA SPRUNG, Dublin III- VO, 2014, Art. 19 K10). Diese Verpflichtung ergibt sich aus dem allgemei- nen unionsrechtlichen Gebot der Zusammenarbeit zwischen den Mitglied- staaten, weshalb ein betreffend Art. 19 Abs. 2 Dublin-III-VO relevantes Vor- bringen dem ersuchten (bisher zuständigen) Mitgliedstaat – gegebenen- falls mit einer nachvollziehbaren negativen Beweiswürdigung – zu übermit- teln ist. Ein solches Vorgehen entspricht auch Art. 2 Bst. a der Durchfüh- rungsverordnung (EU) Nr. 118/2014 der Kommission vom 30. Januar 2014 zur Änderung der Verordnung (EG) Nr. 1560/2003 mit Durchführungs-</w:t>
      </w:r>
    </w:p>
    <w:p>
      <w:r>
        <w:t>D-7158/2023 Seite 9 bestimmungen zur Verordnung (EG) Nr. 343/2003 des Rates zur Festle- gung der Kriterien und Verfahren zur Bestimmung des Mitgliedstaats, der für die Prüfung eines von einem Drittstaatsangehörigen in einem Mitglied- staat gestellten Asylantrags zuständig ist, ABl. L 39/10 vom 8. Februar 2014 (nachfolgend: DVO) (vgl. Urteil des Bundesverwaltungsgerichts D- 4133/2015 vom 10. Juli 2017 E. 3.5). Sollten diese Informationen fehlen, ist die Bestimmung der Zuständigkeit fehlerhaft (CONSTANTIN HRUSCH- KA/FRANCESCO MAIANI, in: Thym Daniel/Hailbronner Kay [Hrsg.], EU Immig- ration and Asylum Law, 2022, Kap. 23, Art. 19 Rz. 8).</w:t>
      </w:r>
    </w:p>
    <w:p>
      <w:r>
        <w:rPr>
          <w:b/>
        </w:rPr>
        <w:t>E. 6.3.3</w:t>
      </w:r>
    </w:p>
    <w:p>
      <w:r>
        <w:t>Den zuständigen Behörden sind jedoch nicht ausnahmslos sämtliche Art. 19 Abs. 2 Dublin-III-VO betreffende Vorbringen zu übermitteln, sondern nur die für die zuständigen Behörden relevanten Informationen (vgl. Urteil D-4133/2015 E. 3.7.2). Diesbezüglich sind insbesondere die Beweisregeln von Art. 22 Abs. 2 ff. Dublin-III-VO («Beweismittel und Indizien») einschlä- gig, die in Anhang II der DVO präzisiert werden. In den betreffenden Ver- zeichnissen wird festgelegt, welche Beweismittel und Indizien im Zuge der Feststellung des Erlöschens gemäss Art. 19 Abs. 2 Dublin-III-VO Verwen- dung finden. Als «Beweise» gelten etwa Ausreisestempel, Auszüge aus den Registern des Drittstaates (Aufenthaltsnachweise), Stempel eines an den Mitgliedstaat angrenzenden Staates unter Berücksichtigung der Rei- seroute des Antragsstellers sowie des Datums des Grenzübertrittes, oder amtliche Bescheinigungen über die tatsächliche Rückführung des Auslän- ders (vgl. Anhang II, Verzeichnis A, Ziff. II.3 DVO). Als «Indizien» für die Ausreise aus dem Hoheitsgebiet der Mitgliedstaaten zählen ausführliche und nachprüfbare Erklärungen des Antragsstellers, Berichte/Bestätigun- gen der Angaben durch eine internationale Organisation, beispielsweise durch das UN-Hochkommissariat für Flüchtlinge (UNHCR), Berichte/Be- stätigung durch einen anderen Mitgliedstaat, Ausreisestempel, Be- richte/Bestätigung der Angaben durch Familienangehörige, Mitreisende und ähnliches, Fingerabdrücke – ausser wenn die Behörden die Fingerab- drücke beim Überschreiten der Aussengrenzen genommen haben – in die- sem Fall stellen sie Beweismittel im Sinne des Verzeichnisses A dar, Fahr- ausweise, Hotelrechnungen, Terminkarten für Besuche beim Arzt, Zahn- arzt und ähnliches in einem Drittland, Daten, aus denen hervorgeht, dass der Antragssteller die Dienste eines Schleppers oder eines Reisebüros in Anspruch genommen hat oder sonstige Indizien gleicher Art (vgl. Anhang II, Verzeichnis B, Ziff. II.3 DVO). Als relevante Vorbringen, die der Weiterleitungspflicht unterstehen, gelten somit Beweise und Indizien im Sinne des Anhangs II der DVO, die grund-</w:t>
      </w:r>
    </w:p>
    <w:p>
      <w:r>
        <w:t>D-7158/2023 Seite 10 sätzlich geeignet erscheinen, einen mindestens dreimonatigen Aufenthalt des Antragstellers ausserhalb des Hoheitsgebiets der Mitgliedstaaten zu belegen. Die Pflicht zur Weiterleitung an den zuständigen Mitgliedstaat be- steht indessen nicht erst dann, wenn die Vorbringen nach Einschätzung des Staates, dem die Vorbringen unterbreitet wurden, das – reduzierte – Beweismass erfüllen (vgl. zum reduzierten Beweismass im Dublin-Verfah- ren BVGE 2015/41 E. 7-7.3). Erforderlich ist eine summarische Prüfung al- ler Vorbringen im konkreten Einzelfall, wobei das Bestehen einer Weiterlei- tungspflicht aufgrund der hierarchischen Gliederung in Anhang II DVO beim Vorliegen von Beweisen rascher zu bejahen sein dürfte als bei Indi- zien.</w:t>
      </w:r>
    </w:p>
    <w:p>
      <w:r>
        <w:rPr>
          <w:b/>
        </w:rPr>
        <w:t>E. 6.3.4</w:t>
      </w:r>
    </w:p>
    <w:p>
      <w:r>
        <w:t>Wie in E. 6.3.2 erwähnt, besteht eine Pflicht zur Weiterleitung bereits dann, wenn der Gesuchsteller relevante Beweismittel oder Indizien im oben dargelegten Sinn vorzulegen vermag. Denn nur wenn dem bisher zu- ständigen Mitgliedstaat die Art. 19 Abs. 2 Dublin-III-VO betreffenden rele- vanten Unterlagen im Rahmen eines (neuen) Wiederaufnahmegesuchs weitergeleitet werden, kann der bisher zuständige Mitgliedstaat seiner in Art. 19 Abs. 2 Dublin-III-VO normierten Prüfungspflicht respektive Nach- weispflicht nachkommen und sich gegebenenfalls auf das Erlöschen seiner Zuständigkeit berufen (vgl. FILZWIESER/SPRUNG, a.a.O., Art. 19 K8 f.).</w:t>
      </w:r>
    </w:p>
    <w:p>
      <w:r>
        <w:rPr>
          <w:b/>
        </w:rPr>
        <w:t>E. 6.3.5</w:t>
      </w:r>
    </w:p>
    <w:p>
      <w:r>
        <w:t>Diese Prüfung hat im Rahmen eines Wiederaufnahmeverfahrens zu erfolgen. Ein nach der Periode der Abwesenheit im Sinne von Art. 19 Abs. 1 UAbs. 1 Dublin-III-VO gestellter Antrag gilt als neuer Antrag, der ein neues Verfahren zur Bestimmung des zuständigen Mitgliedstaats auslöst (vgl. Art. 19 Abs. 2 UAbs. 2 Dublin-III-VO). Der Mitgliedstaat, in dem der neue Antrag gestellt wurde, ist verpflichtet, das Verfahren zur Bestimmung des Mitgliedstaats durchzuführen, der für die Prüfung des neuen Antrags zu- ständig ist (vgl. Urteil des EuGH vom 7. Juni 2016 C-155/15, George Karim c. Migrationsverket, Rn. 17 f.). Damit ist das Wiederaufnahmeverfahren ge- meint, zumal im Wiederaufnahmeverfahren primär geprüft wird, ob die Zu- ständigkeit inzwischen erloschen ist (vgl. FILZWIESER/SPRUNG, a.a.O., Art. 18 K6). Demzufolge muss bei Vorliegen von relevanten Vorbringen, die geeignet sind, ein Erlöschen nach Art. 19 Abs. 2 Dublin-III-VO zu belegen, das SEM ein Wiederaufnahmegesuch an den zuständigen Mitgliedstaat stellen.</w:t>
      </w:r>
    </w:p>
    <w:p>
      <w:r>
        <w:rPr>
          <w:b/>
        </w:rPr>
        <w:t>E. 6.3.6</w:t>
      </w:r>
    </w:p>
    <w:p>
      <w:r>
        <w:t>Wenn sich das Gesuch auf andere Beweismittel als die Angaben aus dem Eurodac-System stützt, ist das Wiederaufnahmegesuch innerhalb von drei Monaten an den zuständigen Mitgliedstaat zu richten (vgl. Art. 23</w:t>
      </w:r>
    </w:p>
    <w:p>
      <w:r>
        <w:t>D-7158/2023 Seite 11 Abs. 2 UAbs. 2 Dublin-III-VO). Dem SEM steht es dabei offen, dem Ersu- chen eine nachvollziehbare negative Beweiswürdigung der Vorbringen bei- zulegen; der abschliessende Nachweis (und die damit verbundene Prü- fungspflicht) bezüglich des Erlöschens obliegt jedoch dem zuständigen Staat (vgl. FILZWIESER/SPRUNG, a.a.O., Art. 19 K10).</w:t>
      </w:r>
    </w:p>
    <w:p>
      <w:r>
        <w:rPr>
          <w:b/>
        </w:rPr>
        <w:t>E. 6.3.7</w:t>
      </w:r>
    </w:p>
    <w:p>
      <w:r>
        <w:t>Der Umstand, dass der für die Behandlung des Asylgesuchs zustän- dige Mitgliedstaat bereits bestimmt wurde und diesbezüglich eine rechts- kräftige Verfügung besteht, steht einem (neuen) Wiederaufnahmegesuch nicht entgegen. So hat der EuGH in seinem Urteil C-360/16 Bundesrepub- lik Deutschland c. Aziz Hasan vom 25. Januar 2018 entschieden, dass ein erstes, noch Rechtswirkungen entfaltendes Verfahren die Durchführung ei- nes zweiten Verfahrens nicht ausschliesst (vgl. Urteil des EuGH C-360/16 Bundesrepublik Deutschland c. Aziz Hasan vom 25. Januar 2018, Rn. 47 ff., 54 und 91 f.). Durch das Stellen eines Wiederaufnahmegesuchs wird die Rechtskraft der ursprünglichen Verfügung der Vorinstanz (vorerst) nicht tangiert. Erst wenn der zuständige Mitgliedstaat nachweisen kann, dass seine Zuständigkeit tatsächlich erloschen ist, muss die ursprüngliche Verfügung aufgehoben werden.</w:t>
      </w:r>
    </w:p>
    <w:p>
      <w:r>
        <w:rPr>
          <w:b/>
        </w:rPr>
        <w:t>E. 6.3.8</w:t>
      </w:r>
    </w:p>
    <w:p>
      <w:r>
        <w:t>Erfolgt innert der Frist von drei Monaten kein Wiederaufnahme- gesuch (vgl. oben E. 6.3.7), so ist der Mitgliedstaat für die Prüfung des An- trags auf internationalen Schutz zuständig, in dem der neue Antrag gestellt wurde (Art. 23 Abs. 3 Dublin-III-VO). Gemäss konstanter Rechtsprechung des Bundesverwaltungsgerichts kann sich ein Betroffener grundsätzlich auf die richtige Anwendung sämtlicher objektiver Zuständigkeitskriterien der Dublin-III-VO berufen, insbesondere auch auf jene Bestimmungen, die einen Zuständigkeitsübergang infolge Fristablaufs vorsehen (vgl. BVGE 2017 VI/9 E. 5.3.2 [mit Verweis auf die Rechtsprechung des EuGH]).</w:t>
      </w:r>
    </w:p>
    <w:p>
      <w:r>
        <w:rPr>
          <w:b/>
        </w:rPr>
        <w:t>E. 6.4.1</w:t>
      </w:r>
    </w:p>
    <w:p>
      <w:r>
        <w:t>Der Beschwerdeführer macht geltend, er habe sich während über drei Monaten in Montenegro und in Serbien aufgehalten. Als Belege für diese Behauptung reichte er eine Hotelrechnung, mehrere Fahrausweise, Fotos und ein Video sowie einen Kaufvertrag für ein Mobiltelefon zu den Akten. Diese Unterlagen sind insgesamt – unter Berücksichtigung der kon- kreten Umstände des Einzelfalls – als Indizien nach dem Anhang II, Ver- zeichnis B, Ziff. II. 3 DVO zu qualifizieren, die potentiell geeignet sind, das</w:t>
      </w:r>
    </w:p>
    <w:p>
      <w:r>
        <w:t>D-7158/2023 Seite 12 Erlöschen der Zuständigkeit Deutschlands für das Asylverfahren des Be- schwerdeführers zu belegen.</w:t>
      </w:r>
    </w:p>
    <w:p>
      <w:r>
        <w:rPr>
          <w:b/>
        </w:rPr>
        <w:t>E. 6.4.2</w:t>
      </w:r>
    </w:p>
    <w:p>
      <w:r>
        <w:t>Bei dieser Sachlage wäre das SEM verpflichtet gewesen, den deut- schen Behörden die Vorbringen (und Belege) des Beschwerdeführers im Rahmen eines Wiederaufnahmegesuchs gemäss Art. 23 Abs. 1 Dublin-III- VO betreffend den geltend gemachten Aufenthalt des Beschwerdeführers in Serbien und Montenegro zu übermitteln. Dieses Wiederaufnahmege- such hätte innerhalb von drei Monaten, gerechnet ab dem Zeitpunkt der erneuten Antragstellung in der Schweiz gestellt werden müssen. Das Wie- dererwägungsgesuch des Beschwerdeführers datiert vom 8. November 2023. Die dreimonatige Frist endete somit am 8. Februar 2024 (vgl. Art. 42 Bst. b Dublin-III-VO). Gemäss den Akten hat das SEM diese Frist un- benutzt verstreichen lassen.</w:t>
      </w:r>
    </w:p>
    <w:p>
      <w:r>
        <w:rPr>
          <w:b/>
        </w:rPr>
        <w:t>E. 6.4.3</w:t>
      </w:r>
    </w:p>
    <w:p>
      <w:r>
        <w:t>Mit dem unbenutzten Ablauf der Frist ist die Zuständigkeit zur Durch- führung des Asyl- und Wegweisungsverfahrens auf die Schweiz überge- gangen (vgl. Art. 23 Abs. 3 Dublin-III-VO). An diesem Ergebnis ändert auch der Umstand nichts, dass das SEM die deutschen Behörden am 10. Januar 2024 informierte, der Beschwerdefüh- rer habe eine neue Beschwerde mit aufschiebender Wirkung eingereicht. Die Einreichung eines Rechtsmittels mit aufschiebender Wirkung führt ge- gebenenfalls zur Unterbrechung der Überstellungsfrist, hat jedoch keinen Einfluss auf die Frist zur Stellung eines Gesuchs um Wiederaufnahme (vgl. Art. 29 Abs. 1 Dublin-III-VO).</w:t>
      </w:r>
    </w:p>
    <w:p>
      <w:r>
        <w:rPr>
          <w:b/>
        </w:rPr>
        <w:t>E. 7.1</w:t>
      </w:r>
    </w:p>
    <w:p>
      <w:r>
        <w:t>Die Beschwerde ist daher gutzuheissen, soweit darin die Aufhebung der Verfügung vom 14. Dezember 2023 beantragt wird, und die Vorinstanz ist anzuweisen, ihre ursprüngliche Verfügung vom 8. Mai 2023 in Wieder- erwägung zu ziehen und das Asylgesuch des Beschwerdeführers im nati- onalen Asylverfahren zu behandeln.</w:t>
      </w:r>
    </w:p>
    <w:p>
      <w:r>
        <w:rPr>
          <w:b/>
        </w:rPr>
        <w:t>E. 7.2</w:t>
      </w:r>
    </w:p>
    <w:p>
      <w:r>
        <w:t>Weiter ist dem Beschwerdeführer der am 29. November 2023 nach Art. 111d Abs. 1 AsylG eingeforderte Gebührenvorschuss durch die Vor- instanz zurückzuerstatten.</w:t>
      </w:r>
    </w:p>
    <w:p>
      <w:r>
        <w:rPr>
          <w:b/>
        </w:rPr>
        <w:t>E. 8.1</w:t>
      </w:r>
    </w:p>
    <w:p>
      <w:r>
        <w:t>Bei diesem Ausgang des Verfahrens sind keine Kosten zu erheben (Art. 63 Abs. 1 und 2 VwVG). Das Gesuch um Gewährung der unent-</w:t>
      </w:r>
    </w:p>
    <w:p>
      <w:r>
        <w:t>D-7158/2023 Seite 13 geltlichen Rechtspflege (Art. 65 Abs. 1 und 2 VwVG) ist damit gegen- standslos geworden.</w:t>
      </w:r>
    </w:p>
    <w:p>
      <w:r>
        <w:rPr>
          <w:b/>
        </w:rPr>
        <w:t>E. 8.2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w:t>
      </w:r>
    </w:p>
    <w:p>
      <w:r>
        <w:rPr>
          <w:b/>
        </w:rPr>
        <w:t>E. 8.3</w:t>
      </w:r>
    </w:p>
    <w:p>
      <w:r>
        <w:t>Es wurde keine Kostennote zu den Akten gereicht, weshalb die not- wendigen Parteikosten aufgrund der Akten zu bestimmen sind (Art. 14 Abs. 2 in fine VGKE). Die von der Vorinstanz auszurichtende Parteient- schädigung wird in Anwendung der genannten Bestimmungen und unter Berücksichtigung der massgeblichen Bemessungsfaktoren demnach von Amtes wegen auf insgesamt Fr. 400.– festgelegt.</w:t>
      </w:r>
    </w:p>
    <w:p>
      <w:r>
        <w:t>(Dispositiv nächste Seite)</w:t>
      </w:r>
    </w:p>
    <w:p>
      <w:r>
        <w:t>D-7158/2023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