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D-7148/2018 vom 18. Dezember 2019</w:t>
      </w:r>
    </w:p>
    <w:p>
      <w:r>
        <w:t>Bundesverwaltungsgericht, 2019-12-18, FR</w:t>
      </w:r>
    </w:p>
    <w:p>
      <w:r>
        <w:rPr>
          <w:b/>
        </w:rPr>
        <w:t xml:space="preserve">Quelle: </w:t>
      </w:r>
      <w:r>
        <w:t>https://mcp.opencaselaw.ch/entscheid/bvger_D-7148_2018</w:t>
      </w:r>
    </w:p>
    <w:p>
      <w:r>
        <w:t>FR: TAF D-7148/2018 du 18 décembre 2019</w:t>
      </w:r>
    </w:p>
    <w:p>
      <w:r>
        <w:t>IT: TAF D-7148/2018 del 18 dicembre 2019</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1.6</w:t>
      </w:r>
    </w:p>
    <w:p>
      <w:r>
        <w:t>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fait grief au SEM d'avoir tenu compte de déclarations qu'il avait faites à la Police cantonale de E._______, dans l'appréciation de la vraisemblance de ses motifs d'asile. La question de savoir si ce grief est fondé peut rester indécise pour les raisons qui suivent.</w:t>
      </w:r>
    </w:p>
    <w:p>
      <w:r>
        <w:rPr>
          <w:b/>
        </w:rPr>
        <w:t>E. 3.2</w:t>
      </w:r>
    </w:p>
    <w:p>
      <w:r>
        <w:t>Le recourant a certes démontré qu'il avait effectivement appartenu au corps des Bassidji (cf. attestation d'appartenance au corps des Bassidji du [...] 2002, quatre attestations de formation, un ordre d'affectation et de prise de service du [...] 2007, un ordre d'affection du [...] 2007, un formulaire de demande d'adhésion au Bassidji, un certificat de bonnes moeurs en vue de l'adhésion et une nomination du [...] 2010 ; documents répertoriés au numéro 3 du bordereau de l'enveloppe des moyens de preuve [A23, dossier N [...]]). Il y a adhéré le [...] 2003, a été nommé responsable des ressources humaines du bataillon le [...] 2007 et en est devenu définitivement membre le [...] 2008.</w:t>
      </w:r>
    </w:p>
    <w:p>
      <w:r>
        <w:rPr>
          <w:b/>
        </w:rPr>
        <w:t>E. 3.3</w:t>
      </w:r>
    </w:p>
    <w:p>
      <w:r>
        <w:t>Toutefois, n'apparaît pas vraisemblable l'affirmation selon laquelle il aurait été convoqué contre son gré deux semaines avant son départ d'Iran par le chef du camp de « F._______ » et qu'il aurait dû se rendre dans un bureau à Téhéran en vue d'être envoyé de force en Syrie. En effet, l'enrôlement et l'envoi forcé d'Iraniens en Syrie ne sont en rien confirmés par les sources à disposition. Selon le rapport danois de février 2018 (Recruitment of Iranian nationals to the war in Syria) cité dans la décision entreprise, le recrutement pour la guerre en Syrie a lieu sur une base volontaire, l'Iran promettant l'octroi d'avantages notamment financiers pour l'accomplissement d'un tel service. Quant aux personnes qui renonceraient à leurs fonctions après les premiers mois de service ou celles qui refuseraient de s'y rendre, elles n'encourent aucune conséquence. Contrairement à ce que soutient le recourant, ledit rapport, basé en particulier sur des informations provenant de différentes représentations de pays occidentaux, constitue une source fiable. Le fait que les sources sur lesquelles il s'appuie et dont proviennent les renseignements veulent garder l'anonymat ne saurait en soi réduire la valeur probante de ceux-ci. De son côté, le recourant se limite à mettre en cause la fiabilité du rapport en question, mais ne se réfère à aucune autre source, respectivement à un document qui contredirait, amoindrirait ou permettrait de contester le sérieux des renseignements sur lesquels s'est fondé le SEM, voire une partie de ceux-ci, de sorte que les arguments du recours à ce sujet doivent être écartés.</w:t>
      </w:r>
    </w:p>
    <w:p>
      <w:r>
        <w:rPr>
          <w:b/>
        </w:rPr>
        <w:t>E. 3.4</w:t>
      </w:r>
    </w:p>
    <w:p>
      <w:r>
        <w:t>Quant à l'affirmation selon laquelle le régime iranien, en l'envoyant défendre, en 2015 , son idéologie en Syrie, aurait voulu le punir de ses prises de position hostiles au gouvernement intervenues à partir de 2009, elle n'est pas crédible, d'abord en raison de ce qui précède, mais ensuite aussi parce qu'elle est contredite par le fait qu'à côté des volontaires, seules des personnes loyales au régime sont recrutées (cf. rapport danois précité), parce qu'elle est incompatible avec sa promotion en tant que responsable de la préparation et du soutien à la base de « F._______ Panahi » le (...) 2010 (cf. document 3M produit par-devant le SEM) et enfin, parce qu'il n'a pas été exclu du corps des Bassidji, mais s'en est retiré volontairement après les événements de 2009 (cf. procès-verbal d'audition [pv.] du 24 janvier 2017, réponse à la question 95, p. 15).</w:t>
      </w:r>
    </w:p>
    <w:p>
      <w:r>
        <w:rPr>
          <w:b/>
        </w:rPr>
        <w:t>E. 3.5</w:t>
      </w:r>
    </w:p>
    <w:p>
      <w:r>
        <w:t>Ne prône pas non plus en faveur de la crédibilité de ses motifs de fuite la facilité avec laquelle il est sorti de son pays d'origine. En effet, si son nom figurait sur une liste de personnes recherchées (pv. du 11 janvier 2016, pt. 7.02, p. 8), que ses poursuivants l'avaient averti qu'il ne pouvait pas quitter le pays (cf. pv. du 24 janvier 2017, réponse à la question 77, p. 10) et qu'il était officiellement recherché (pv. du 24 janvier 2017, réponses aux questions 155 et 156, p. 22), il n'aurait pas pu quitter l'Iran par l'aéroport de Téhéran, connu pour ses contrôles stricts, au moyen de son passeport, sans rencontrer le moindre problème et dans les circonstances décrites (cf. pv. du 24 janvier 2017, réponses aux questions 169 à 171). L'explication selon laquelle son nom aurait disparu des listes de personnes interdites de sortie, qui sont en possession tant de la police frontière que des membres des Pasdarans, est fantaisiste. Enfin, rien au dossier ne permet d'expliquer pour quelle raison un membre des Pasdarans travaillant pour la sécurité à l'aéroport lui serait venu en aide, sachant les sanctions qu'il risquait (cf. pv. du 24 janvier 2017, réponse à la question 77, p. 10).</w:t>
      </w:r>
    </w:p>
    <w:p>
      <w:r>
        <w:rPr>
          <w:b/>
        </w:rPr>
        <w:t>E. 3.6</w:t>
      </w:r>
    </w:p>
    <w:p>
      <w:r>
        <w:t>Au vu de ce qui précède, les éléments plaidant contre la vraisemblance des faits allégués l'emportent clairement sur ceux qui parlent en sa faveur, de sorte que les motifs d'asile antérieurs au départ de l'Iran de l'intéressé ne remplissent pas les exigences de haute probabilité posées par l'art. 7 LAsi.</w:t>
      </w:r>
    </w:p>
    <w:p>
      <w:r>
        <w:rPr>
          <w:b/>
        </w:rPr>
        <w:t>E. 3.7</w:t>
      </w:r>
    </w:p>
    <w:p>
      <w:r>
        <w:t>Le Tribunal est aussi en droit de douter sérieusement de l'affirmation du recourant, qui n'est étayée par aucun commencement de preuve, selon laquelle ses frères l'auraient dénoncé aux autorités après son départ d'Iran. L'intéressé lui-même n'explique nullement pour quels motifs il l'aurait été, comment il serait parvenu à obtenir de telles informations et les raisons qui seraient à l'origine d'un tel comportement. Nul doute qu'il aurait été en mesure de s'expliquer en détail à ce sujet si ces affirmations avaient été l'expression de la réalité.</w:t>
      </w:r>
    </w:p>
    <w:p>
      <w:r>
        <w:rPr>
          <w:b/>
        </w:rPr>
        <w:t>E. 3.8</w:t>
      </w:r>
    </w:p>
    <w:p>
      <w:r>
        <w:t>Il reste à examiner si le requérant peut se prévaloir de motifs subjectifs postérieurs à la fuite pour fonder sa qualité de réfugié au sens de l'art. 3 LAsi.</w:t>
      </w:r>
    </w:p>
    <w:p>
      <w:r>
        <w:rPr>
          <w:b/>
        </w:rPr>
        <w:t>E. 3.8.1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et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3.8.2</w:t>
      </w:r>
    </w:p>
    <w:p>
      <w:r>
        <w:t>L'intéressé a soutenu être actif au sein de « l'Allianz der demokratisch-iranischen Kräfte Schweiz » et a produit des documents extraits de ses sites « Facebook » et « Instagram » destinés à prouver ses activités politiques en Suisse, hostiles au gouvernement iranien, à savoir des photos prises lors de manifestations tenues à G._______ les 6 juin et 20 décembre 2016, à H._______ les 5 mars, 20 août, 24 septembre et 10 décembre 2016, et à I._______ les 1er mai et 19 novembre 2016. Dans son recours, il a également expliqué que son blog avait été bloqué en Iran et qu'il avait participé régulièrement à des émissions diffusées par la station locale zurichoise « [nom de la radio] ».</w:t>
      </w:r>
    </w:p>
    <w:p>
      <w:r>
        <w:rPr>
          <w:b/>
        </w:rPr>
        <w:t>E. 3.8.3</w:t>
      </w:r>
    </w:p>
    <w:p>
      <w:r>
        <w:t>Il est admis que les services secrets iraniens exercent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du TAF D-830/2016 du 20 juillet 2016 consid. 4 ; ATAF 2009/28 consid. 7.4.3). Ne représente par exemple pas une telle menace le requérant qui, inconnu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w:t>
      </w:r>
    </w:p>
    <w:p>
      <w:r>
        <w:rPr>
          <w:b/>
        </w:rPr>
        <w:t>E. 3.8.4</w:t>
      </w:r>
    </w:p>
    <w:p>
      <w:r>
        <w:t>En l'occurrence, l'intéressé n'était pas politiquement actif avant son départ d'Iran (cf. pv. du 11 janvier 2016, pt. 7.02, p. 8). Il n'assume aucune fonction officielle au sein de « l'Allianz der demokratisch-iranischen Kräfte Schweiz » (pv. du 24 janvier 2017, réponse à la question 189, p. 27) et n'a, selon les pièces au dossier, exercé aucun rôle de premier plan, s'inscrivant au-delà d'un cadre d'opposition de masse, en Suisse. Ses activités au sein de l'Alliance se sont en effet limitées à une participation passive à des manifestations. Ensuite, sur les photos produites, le recourant porte des banderoles, au même titre que d'autres participants. En outre, son site Instagram « [nom du site] » n'a été consulté qu'à cinq, voire sept reprises, un nombre extrêmement restreint de visites qui démontre le peu d'intérêt qu'il suscite, rien n'établissant que l'une d'entre elles soit le fait des autorités iraniennes. Par ailleurs, ce site faisait état de 100 publications et de 332 abonnés lors de sa consultation par le Tribunal, le 28 novembre 2019, ce qui ne met pas en lumière une activité susceptible de faire passer l'intéressé comme un opposant digne d'intérêt pour le régime iranien. A cela s'ajoute qu'il ne donne aucun détail relatif au blocage de son blog [nom du blog]. L'extrait qu'il a produit n'est pas daté, si bien qu'il n'est pas possible de déterminer quand cette mesure a été prise. De plus, selon les informations en possession du Tribunal, les serveurs de la plateforme [nom de la plateforme] sont situés à l'étranger. Si les autorités iraniennes ont la possibilité d'interdire l'accès aux blogs de ce site en Iran, leur consultation en dehors de ce pays, notamment depuis la Suisse ou un autre pays doit demeurer possible car le site devrait être actif. Or, la consultation par le Tribunal du site [nom du site] était impossible le 29 novembre 2019, car il était inactif, alors que son accès aurait dû être possible, rien ne permettant de comprendre pourquoi il était désactivé. Il n'est donc pas établi à satisfaction que les autorités iraniennes aient pu identifier l'intéressé en consultant son blog et qu'elles aient interdit ensuite l'accès au site précité. Des centaines de milliers de blogs de ce site sont inaccessibles en Iran car l'accès à la plateforme [nom de la plateforme] est rendu impossible. Les autorités de ce pays sont en mesure d'en interdire l'accès de manière générale. Aussi, il ne peut être exclu que le blocage de [nom du site] doit être placé dans le cadre de mesures visant l'ensemble des blogeurs iraniens. Dans tous les cas, rien au dossier ne permet d'admettre que le recourant était personnellement visé par le blocage. Pour ces raisons, le moyen de preuve n° 5 produit au stade du recours ne saurait se voir accorder de valeur probante déterminante. S'agissant de la participation du recourant à des émissions diffusées par la radio locale zurichoise « [nom de la radio] », il ne ressort pas non plus du dossier ou d'autres éléments concrets qu'elles soient parvenues à connaissance des autorités iraniennes. Ainsi, même à prendre en considération son activisme sur Internet, le recourant ne se distingue pas par l'ampleur de ses actions ou un rôle de meneur propre à l'exposer à de sérieux préjudices au sens de l'art. 3 LAsi en cas de retour dans son pays d'origine parce qu'il serait susceptible d'être perçu comme une menace sérieuse et concrète pour le régime en place. Enfin, il sied de rappeler que le seul dépôt d'une demande d'asile à l'étranger par un ressortissant iranien ne permet pas non plus en soi de lui reconnaître une crainte fondée de persécution (cf. p. ex. arrêt du TAF D-3473/2014 du 13 décembre 2016, consid. 6.5 et réf. cit.).</w:t>
      </w:r>
    </w:p>
    <w:p>
      <w:r>
        <w:rPr>
          <w:b/>
        </w:rPr>
        <w:t>E. 3.8.5</w:t>
      </w:r>
    </w:p>
    <w:p>
      <w:r>
        <w:t>En conséquence, le risque pour le recourant d'être soumis, dans son pays d'origine, à des mauvais traitements ou d'être l'objet d'une condamnation déterminante pour la reconnaissance de la qualité de réfugié du fait de motifs subjectifs postérieurs à son départ n'est pas établi à satisfaction de droit.</w:t>
      </w:r>
    </w:p>
    <w:p>
      <w:r>
        <w:rPr>
          <w:b/>
        </w:rPr>
        <w:t>E. 3.9</w:t>
      </w:r>
    </w:p>
    <w:p>
      <w:r>
        <w:t>Le recours, sous l'angle de la reconnaissance de la qualité de réfugié et de l'octroi de l'asile doit ainsi être rejeté.</w:t>
      </w:r>
    </w:p>
    <w:p>
      <w:r>
        <w:rPr>
          <w:b/>
        </w:rPr>
        <w:t>E. 4.1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notamment,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(cf. art. 83 al. 1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TAF D-4984/2015 du 13 juillet 2017 consid. 10.3 ; D-6981/2013 du 4 février 2016 consid. 7.3 ; D-5124/2010 du 14 juin 2013 consid. 7.1 ; D-987/2011 du 25 mars 2013 consid. 8.2.2 et jurisp. cit.). In casu, pour les motifs déjà exposés (cf. supra consid. 3) le recourant n'a pas rendu hautement probable qu'il serait personnellement visé, en cas de retour dans son pays d'origine, par des mesures incompatibles avec l'art. 3 CEDH ou d'autres dispositions contraignantes de droit international.</w:t>
      </w:r>
    </w:p>
    <w:p>
      <w:r>
        <w:rPr>
          <w:b/>
        </w:rPr>
        <w:t>E. 6.4</w:t>
      </w:r>
    </w:p>
    <w:p>
      <w:r>
        <w:t>Dès lors, l'exécution du renvoi du recourant, sous forme de refoulement ne transgresse aucun engagement de la Suisse relevant du droit international, de sorte qu'elle s'avère licite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7.3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7.5</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Par ailleurs, il ne ressort pas du dossier que le recourant pourrait être mis concrètement en danger pour des motifs qui lui sont propres. Agé de (...) ans, il est jeune, sans charge de famille, apte à travailler et au bénéfice d'une expérience professionnelle. Comme l'a retenu le SEM, il doit disposer d'un réseau familial et social dans son pays d'origine, élément par ailleurs non contesté dans le recours, soit autant de facteurs qui devraient lui permettre de se réinstaller sans rencontrer d'excessives difficultés.</w:t>
      </w:r>
    </w:p>
    <w:p>
      <w:r>
        <w:rPr>
          <w:b/>
        </w:rPr>
        <w:t>E. 7.6</w:t>
      </w:r>
    </w:p>
    <w:p>
      <w:r>
        <w:t>Il résulte de ce qui précède que l'exécution du renvoi est raisonnablement exigible au sens de l'art. 83 al. 4 LEI.</w:t>
      </w:r>
    </w:p>
    <w:p>
      <w:r>
        <w:rPr>
          <w:b/>
        </w:rPr>
        <w:t>E. 8.1</w:t>
      </w:r>
    </w:p>
    <w:p>
      <w:r>
        <w:t>L'exécution du renvoi n'est pas possible lorsque l'étranger ne peut pas quitter la Suisse pour son Etat d'origine, son Etat de provenance ou un Etat tiers, ni être renvoyé dans un de ces Etats (art. 83 al. 2 LEI).</w:t>
      </w:r>
    </w:p>
    <w:p>
      <w:r>
        <w:rPr>
          <w:b/>
        </w:rPr>
        <w:t>E. 8.2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porte sur l'exécution du renvoi, doit être rejeté et le dispositif de la décision entreprise également confirmé sur ce point.</w:t>
      </w:r>
    </w:p>
    <w:p>
      <w:r>
        <w:rPr>
          <w:b/>
        </w:rPr>
        <w:t>E. 10.1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w:t>
      </w:r>
    </w:p>
    <w:p>
      <w:r>
        <w:rPr>
          <w:b/>
        </w:rPr>
        <w:t>E. 10.2</w:t>
      </w:r>
    </w:p>
    <w:p>
      <w:r>
        <w:t>Il convient par ailleurs d'allouer une indemnité à titre d'honoraires et de débours au mandataire d'office (art. 8 à 11 en relation avec les art. 12 et 14 FITAF. Considérant la note d'honoraires produite le 30 janvier 2019 et l'indemnisation des seuls frais nécessaires (cf. art. 8 al. 2 FITAF), le Tribunal fixe l'indemnité due au mandataire d'office à 2'400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