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D-7143/2015 vom 12. April 2016</w:t>
      </w:r>
    </w:p>
    <w:p>
      <w:r>
        <w:t>Bundesverwaltungsgericht, 2016-04-12, DE</w:t>
      </w:r>
    </w:p>
    <w:p>
      <w:r>
        <w:rPr>
          <w:b/>
        </w:rPr>
        <w:t xml:space="preserve">Quelle: </w:t>
      </w:r>
      <w:r>
        <w:t>https://mcp.opencaselaw.ch/entscheid/bvger_D-7143_2015</w:t>
      </w:r>
    </w:p>
    <w:p>
      <w:r>
        <w:t>FR: TAF D-7143/2015 du 12 avril 2016</w:t>
      </w:r>
    </w:p>
    <w:p>
      <w:r>
        <w:t>IT: TAF D-7143/2015 del 12 aprile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ist in englischer Sprache und somit nicht in einer Amtssprache des Bundes (vgl. Art. 70 Abs. 1 BV) abgefasst. Vorliegend kann jedoch aus prozessökonomischen Gründen praxisgemäss auf eine Rückweisung der Beschwerde zur Verbesserung verzichtet werden, da ihr genügend klare, sinngemässe Rechts­begehren und deren Begründung zu entnehmen sind. Zudem ist vorliegend davon abzusehen, vom Beschwerdeführer eine unterzeichnete Beschwerdeschrift nachzufordern (Art. 52 Abs. 1 und 2 VwVG). Angesichts des Übermittlungsblattes der Botschaft vom 26. Oktober 2015 rechtfertigt sich die Annahme, der Beschwerdeführer habe seine Beschwerdeschrift der Botschaft übergeben, weshalb nicht zu befürchten ist, eine nicht autorisierte Drittperson habe die Beschwerde eingereicht (vgl. zum Zweck des Erfordernisses einer Unterschrift: Entscheidungen und Mitteilungen der Schweizerischen Asylrekurskommission [EMARK] 2003 Nr. 16 E. 2d).</w:t>
      </w:r>
    </w:p>
    <w:p>
      <w:r>
        <w:rPr>
          <w:b/>
        </w:rPr>
        <w:t>E. 1.4</w:t>
      </w:r>
    </w:p>
    <w:p>
      <w:r>
        <w:t>Der Beschwerdeführer ist gemäss Art. 48 Abs. 1 VwVG zur Beschwer­de berechtigt. Auf die fristgerecht eingereichte und in der Form akzeptierte Beschwerde ist somit einzutreten (Art. 50 und 52 VwVG).</w:t>
      </w:r>
    </w:p>
    <w:p>
      <w:r>
        <w:rPr>
          <w:b/>
        </w:rPr>
        <w:t>E. 2.1</w:t>
      </w:r>
    </w:p>
    <w:p>
      <w:r>
        <w:t>Die in Art. 106 Abs. 1 AsylG für Asylverfahren normierte spezialgesetzliche Kognitionsbeschränkung ist für das vorliegende Verfahren nicht anwendbar, da es sich bei der Erteilung eines humanitären Visums trotz der Berührungspunkte zu asylrechtlichen Fragestellungen um eine ausländerrechtliche Materie handelt.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 vgl. BVGE 2015/5 E. 2).</w:t>
      </w:r>
    </w:p>
    <w:p>
      <w:r>
        <w:rPr>
          <w:b/>
        </w:rPr>
        <w:t>E. 2.2</w:t>
      </w:r>
    </w:p>
    <w:p>
      <w:r>
        <w:t>Die Beschwerde erweist sich als zum vornherein unbegründet, weshalb auf die Durchführung eines Schriftenwechsels verzichtet worden ist (Art. 57 Abs. 1 VwVG e contrario).</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2015/5 E. 3.1; 2009/27 E. 3 m.w.H.).</w:t>
      </w:r>
    </w:p>
    <w:p>
      <w:r>
        <w:rPr>
          <w:b/>
        </w:rPr>
        <w:t>E. 3.2</w:t>
      </w:r>
    </w:p>
    <w:p>
      <w:r>
        <w:t>Als äthiopischer Staatsangehöriger kann sich der Beschwerdeführer nicht auf die EU/EFTA-Personenfreizügigkeitsabkommen berufen. Vielmehr untersteht die Beurteilung seines Gesuchs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AuG (SR 142.20) und seine Ausführungsverordnung gelangen nur soweit zur Anwendung, als die Schengen-Asso­ziie­rungsabkommen keine abweichenden Bestimmungen enthalten (Art. 2 Abs. 2-5 AuG).</w:t>
      </w:r>
    </w:p>
    <w:p>
      <w:r>
        <w:rPr>
          <w:b/>
        </w:rPr>
        <w:t>E. 3.3</w:t>
      </w:r>
    </w:p>
    <w:p>
      <w:r>
        <w:t>Angehörige von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EU-Visum-Verordnung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zuletzt geändert durch Verordnung [EU] Nr. 509/2014 vom 15. Mai 2014).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[Verordnung {EG} Nr. 562/2006 des Europäischen Parlaments und des Rates vom 15. März 2006 über einen Gemeinschaftskodex für das Überschreiten der Grenzen durch Personen, zuletzt geändert durch Verordnung {EU} Nr. 1051/2013 vom 22. Oktober 2013]; Art. 14 Abs. 1 Bst. a-d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w:t>
      </w:r>
    </w:p>
    <w:p>
      <w:r>
        <w:t>Der Beschwerdeführer unterliegt als äthiopischer Staatsangehöriger ge­mäss Art. 1 Abs. 1 EU-Visum-Verordnung in Verbindung mit Anhang I einer Visumspflicht für den Schengen-Raum. Im Beschwerdeverfahren wird jedoch nicht bestritten, dass die bereits in der angefochtenen Verfügung geprüften Voraussetzungen für die Erteilung eines solchen Schengen-Visums vorliegend nicht gegeben sind. Da der Beschwerdeführer um Schutz vor Gefährdung im Aufenthaltsstaat ersucht, ist seine fristgerechte Ausreise aus dem Schengen-Raum offensichtlich nicht gewährleistet. Die Erteilung eines Visums mit Gültigkeit für den gesamten Schengen-Raum fällt daher nicht in Betracht. Im Folgenden ist daher einzig noch zu prüfen, ob das SEM auch zu Recht die Erteilung eines Einreisevisums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Botschaft des Bundesrates vom 26. Mai 2010 zur Änderung des Asylgesetzes, BBl 2010 4455, insbesondere 4467 f., 4471 f. und 4490 f.; Weisung des SEM vom 25. Februar 2014 betreffend Visumsantrag aus humanitären Gründen [zu finden auf der Internetseite des SEM]).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w:t>
      </w:r>
    </w:p>
    <w:p>
      <w:r>
        <w:rPr>
          <w:b/>
        </w:rPr>
        <w:t>E. 6.1</w:t>
      </w:r>
    </w:p>
    <w:p>
      <w:r>
        <w:t>Vorliegend ergeben sich aus den Akten keine Anhaltspunkte, aufgrund derer offensichtlich davon ausgegangen werden muss, dass der Beschwerdeführer im Sudan unmittelbar, ernsthaft und konkret an Leib und Leben gefährdet ist. Auffällig ist, dass offenbar seit seiner Ankunft in Khartum im November 2003 bis zur Stellung seines Visumsantrags im April 2015 ­- abgesehen von einem weit zurückliegenden Ereignis im Jahr 2007 - keine nennenswerten Vorfälle stattfanden (vgl. Bstn. A.a und A.d vorstehend). Erst in seiner Einsprache nannte er zwei konkrete Vorfälle (vgl. Bst. C. vorstehend), die er in der Beschwerdeeingabe wiederholte. Darin bringt er zusätzlich vor, ein Geheimdienstmitarbeiter der äthiopischen Botschaft sei ihm noch vor den Ereignissen im Juli 2015 gefolgt und habe ihm gesagt, es sei möglich, dass er nach Äthiopien deportiert werde, weil er mit der OLF zusammenarbeite. Am 17. Oktober 2015 seien sodann zwei Unbekannte zu ihm nach Hause gekommen, um ihn festzunehmen. Er habe aber fliehen können und halte sich immer noch versteckt. Diese Ausführungen sind ­- wie auch diejenigen zu den bereits in der Einsprache geschilderten Vorfällen - äusserst unsubstanziiert ausgefallen. Auch lassen sich seine Schilderungen zu den konkreten Vorfällen nicht mit dem Inhalt des von ihm eingereichten Dokuments des Polizeidepartements von B._______ vom 22. Oktober 2015 vereinbaren. Aus diesem geht unter anderem hervor, dass am 3. Juli und am 17. Oktober 2015 jeweils drei unbekannte Personen in sein Haus eingedrungen und geflohen seien, sobald er erschienen sei. Seinen Ausführungen zufolge ist dagegen jeweils er geflohen. Die von ihm angeführten Vorfälle können deshalb - so wie von ihm geschildert - nicht geglaubt werden.</w:t>
      </w:r>
    </w:p>
    <w:p>
      <w:r>
        <w:rPr>
          <w:b/>
        </w:rPr>
        <w:t>E. 6.2</w:t>
      </w:r>
    </w:p>
    <w:p>
      <w:r>
        <w:t>Zu seiner Befürchtung, wegen der guten Beziehungen zwischen Äthiopien und dem Sudan sowie dem Rückübernahmeabkommen zwischen den beiden Staaten, in sein Heimatland abgeschoben zu werden, ist Folgendes festzuhalten: Trotz dieser Umstände darf davon ausgegangen werden, dass dem Beschwerdeführer, der als lediglich "moralischer" Unterstützer der OLF über kein politisches Profil verfügt, keine Abschiebung in sein Heimatland droht, sofern er sich nicht illegal in Khartum aufhält, was aufgrund der Akten nicht eindeutig feststeht. Zu vermerken ist an dieser Stelle, dass sich auch der Status des Beschwerdeführers nicht zweifelsfrei aus den Akten ergibt. So reichte er lediglich "Asylsucherkarten" zu den Akten, erklärte gegenüber der Botschaft jedoch, dass er als Flüchtling anerkannt worden sei (vgl. Bst. A.d f. vorstehend). Sollte er sich illegal in Khartum aufhalten, ist es ihm zuzumuten, sich in ein Flüchtlingslager zu begeben und sich dort gegebenenfalls um ein Aufenthaltsrecht zu bemühen.</w:t>
      </w:r>
    </w:p>
    <w:p>
      <w:r>
        <w:rPr>
          <w:b/>
        </w:rPr>
        <w:t>E. 6.3</w:t>
      </w:r>
    </w:p>
    <w:p>
      <w:r>
        <w:t>Was schliesslich sein Vorbringen betrifft, er habe im Sudan kein Recht, sich frei zu bewegen, zu arbeiten und die Schule zu besuchen, ist festzustellen, dass derartige Einschränkungen offensichtlich keine unmittelbare, ernsthafte und konkrete Gefährdung an Leib und Leben darstellen und demzufolge nicht zur Erteilung eines Visums aus humanitären Gründen führen können.</w:t>
      </w:r>
    </w:p>
    <w:p>
      <w:r>
        <w:rPr>
          <w:b/>
        </w:rPr>
        <w:t>E. 6.4</w:t>
      </w:r>
    </w:p>
    <w:p>
      <w:r>
        <w:t>Nach dem Gesagten hat das SEM zu Recht die Erteilung eines Einreisevisums in die Schweiz aus humanitären Gründen abgelehnt.</w:t>
      </w:r>
    </w:p>
    <w:p>
      <w:r>
        <w:rPr>
          <w:b/>
        </w:rPr>
        <w:t>E. 7</w:t>
      </w:r>
    </w:p>
    <w:p>
      <w:r>
        <w:t>Aus diesen Erwägungen ergibt sich, dass die angefochtene Verfügung Bundesrecht nicht verletzt, den rechtserheblichen Sachverhalt richtig sowie vollständig feststellt und angemessen ist (Art. 49 VwVG). Die Beschwerde ist abzuweisen.</w:t>
      </w:r>
    </w:p>
    <w:p>
      <w:r>
        <w:rPr>
          <w:b/>
        </w:rPr>
        <w:t>E. 8</w:t>
      </w:r>
    </w:p>
    <w:p>
      <w:r>
        <w:t>Bei diesem Ausgang des Verfahrens wären die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