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D-7143/2013 vom 20. Januar 2014</w:t>
      </w:r>
    </w:p>
    <w:p>
      <w:r>
        <w:t>Bundesverwaltungsgericht, 2014-01-20, FR</w:t>
      </w:r>
    </w:p>
    <w:p>
      <w:r>
        <w:rPr>
          <w:b/>
        </w:rPr>
        <w:t xml:space="preserve">Quelle: </w:t>
      </w:r>
      <w:r>
        <w:t>https://mcp.opencaselaw.ch/entscheid/bvger_D-7143_2013</w:t>
      </w:r>
    </w:p>
    <w:p>
      <w:r>
        <w:t>FR: TAF D-7143/2013 du 20 janvier 2014</w:t>
      </w:r>
    </w:p>
    <w:p>
      <w:r>
        <w:t>IT: TAF D-7143/2013 del 20 gennaio 2014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1'200 francs, sont mis à la charge des recourants. Ce montant doit être versé sur le compte du Tribunal dans les 30 jours qui suivent l'expédition du présent arrêt.</w:t>
      </w:r>
    </w:p>
    <w:p>
      <w:r>
        <w:rPr>
          <w:b/>
        </w:rPr>
        <w:t>E. 3</w:t>
      </w:r>
    </w:p>
    <w:p>
      <w:r>
        <w:t>Le présent arrêt est adressé aux recourants, à l'ODM et à l'autorité cantonale. Le juge unique : Le greffier : Yanick Felley Rémy Allmendinger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