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D-7142/2015 vom 30. September 2016</w:t>
      </w:r>
    </w:p>
    <w:p>
      <w:r>
        <w:t>Bundesverwaltungsgericht, 2016-09-30, DE</w:t>
      </w:r>
    </w:p>
    <w:p>
      <w:r>
        <w:rPr>
          <w:b/>
        </w:rPr>
        <w:t xml:space="preserve">Quelle: </w:t>
      </w:r>
      <w:r>
        <w:t>https://mcp.opencaselaw.ch/entscheid/bvger_D-7142_2015</w:t>
      </w:r>
    </w:p>
    <w:p>
      <w:r>
        <w:t>FR: TAF D-7142/2015 du 30 septembre 2016</w:t>
      </w:r>
    </w:p>
    <w:p>
      <w:r>
        <w:t>IT: TAF D-7142/2015 del 30 settembre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2.2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2.3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 17 Abs. 2 Satz 1 Dublin-III-VO; sog. humanitäre Klausel). 3.1 Vorab ist zu prüfen, ob das SEM aufgrund der Aktenlage berechtigter-weise davon ausgehe durfte, dem Beschwerdeführer sei es nicht gelungen, die von ihm geltend gemachte Minderjährigkeit glaubhaft zu machen. Den Angaben auf dem Rapport der Grenzwache vom 5. Juli 2015 zufolge führte der Beschwerdeführer unter dem Namen F._______ an, am Y._______ geboren zu sein. Auf dem Personalienblatt, das er zwei Tage später im Empfangszentrum selber ausfüllte, gab er den Namen G._______ und ein Geburtsdatum vom X._______ an. Anlässlich seines Aufenthaltes in Italien (laut den Ausführungen im Rahmen der BzP erreichte er Italien im Juni 2015 [vgl. act. A9/12 S. 6 f.]) habe er den italienischen Behörden gegenüber angegeben, er heisse D._______ und sei 16-jährig. Somit wäre er nach dem massgebenden schweizerischen Recht (vgl. Art. 14 ZGB) im Zeitpunkt des vorinstanzlichen Entscheides noch minderjährig gewesen, weshalb grundsätzlich die Normen des Übereinkommens vom 20. November 1989 über die Rechte des Kindes (KRK, SR 0.107) zu beachten gewesen wären und er sich auf Art. 8 Dublin-III-VO hätte berufen können. Die Vorinstanz verzichtete aber zu Recht auf diesbezügliche Erwägungen und allenfalls weitere Abklärungen im Heimatstaat des Beschwerdeführers, da sie zutreffend davon ausging, dass er die von ihm behauptete Minderjährigkeit nicht glaubhaft machen konnte. Gemäss der Praxis ist bei der Prüfung der Altersangaben einer minderjährigen Person zunächst von allenfalls eingereichten Identitätsdokumenten auszugehen (vgl. EMARK 2004 Nr. 30 E. 6 ff.). Vorliegend reichte der Beschwerdeführer jedoch keinerlei Identitätsdokumente ein und gab diesbezüglich vor, keine solche besessen zu haben oder erhältlich machen zu können (vgl. act. A9/12 S. 5). Bei Fehlen rechtsgenüglicher Identitätsausweise kann sodann auch auf wissenschaftliche Methoden im Sinne von Art. 7 Abs. 1 AsylV 1, beispielsweise die so genannte Knochenaltersanalyse abgestellt werden, sofern sie bestimmten Kriterien entspricht (vgl. EMARK 2001 Nr. 23 E. 4). Die im vorliegenden Fall durchgeführte Knochenaltersbestimmung vom (...) ergab ein Knochenalter, welches einem chronologischen Alter von 19 Jahren oder mehr entspricht. Zwar lassen entsprechende Ergebnisse einer radiologischen Knochenaltersbestimmung keine sicheren Schlüsse auf die Voll- oder Minderjährigkeit zu und weisen generell nur einen beschränkten Aussagewert zur Bestimmung des tatsächlichen Alters auf (zur weiterhin geltenden Praxis vgl. EMARK 2000 Nr. 19 und 28, 2004 Nr. 30 und 31 sowie 2005 Nr. 16). Beschränkt ist der Aussagewert dann, wenn das behauptete Alter im Vergleich zum festgestellten Knochenalter um weniger als drei Jahre variiert. Die Handknochenanalyse gilt jedoch dann als Beweismittel mit erhöhtem Beweiswert, wenn der Unterschied zwischen dem angegebenen Alter und dem festgestellten Knochenalter mehr als drei Jahre beträgt. Die vorliegend durchgeführte Analyse (vgl. act. A8/2), welche sich klarerweise auf den Beschwerdeführer bezieht, vermag den inhaltlichen Anforderungen an Knochenaltersanalysen in einer Gesamtbetrachtung zu genügen. Diesbezüglich ist festzustellen, dass zwar der Unterschied zwischen dem vom Beschwerdeführer anlässlich der BzP angegebenen Alter von (im Zeitpunkt der Analyse) 17 Jahren und 5 Tagen und dem festgestellten Knochenalter von 19 Jahren oder mehr nicht grösser als zwei Jahre ist. Jedoch stellt sich der Altersunterschied bezüglich des anderen vom Beschwerdeführer angeführten Geburtsdatums unterschiedlich dar, will er doch gemäss Grenzwachrapport am Y._______ geboren sein, was einen Unterschied (im Zeitpunkt der Analyse) von über drei Jahren ausmacht. In einem solchen Fall kann die Knochenaltersanalyse als Beweismittel für die Unrichtigkeit einer Altersangabe herangezogen werden und stellt daher vorliegend ein Indiz für die Annahme der Unglaubhaftigkeit der behaupteten Minderjährigkeit dar. Da der Beschwerdeführer gegenüber den italienischen Behörden geltend gemacht habe, 16-jährig zu sein, wäre auch in diesem Fall von einem dreijährigen Altersunterschied zum festgestellten Knochenalter auszugehen. Zudem stellte das SEM seine Ausführungen zum Alter des Beschwerdeführers nicht allein auf das Ergebnis einer Knochenaltersanalyse ab, sondern setzte sich auch mit seinen Vorbringen zur Frage seines Alters und den Gesamtumständen auseinander. So legte es in der angefochtenen Verfügung und in seiner Replik im Resultat zu Recht dar, dass den Angaben des Beschwerdeführers über sein Alter nicht geglaubt werden könne. Insbesondere vermochte der Beschwerdeführer - auch in Berücksichtigung der geltend gemachten geringen Bedeutung seines Geburtsdatums für ihn - den Umstand, dass er seine Geburtsdaten wiederholt unterschiedlich darstellte und überdies dabei jeweils andersgeartete Versionen seines Namens anführte, nicht plausibel zu erklären. Jedenfalls ist der Einwand, er habe anlässlich der Grenzkontrolle wegen Stress einfach ein Geburtsdatum hingeschrieben, welches ihm in den Sinn gekommen sei, angesichts des Umstandes, dass ihm seine Mutter sein Geburtsdatum mitgeteilt habe, er gemäss den Ausführungen der Rechtsvertretung ein aufgeweckter, intelligenter Junge sei (vgl. act. A21/2) und er selber während fünf Jahren die Schule besucht habe (vgl. act. A9/12 S. 4), als blosse Schutzbehauptung zu werten. Da gemäss gefestigter Praxis eine asylsuchende Person die objektive Beweislast für die behauptete Minderjährigkeit und die Folgen der Beweislosigkeit trägt, gelingt es dem Beschwerdeführer vorliegend nicht, seine behauptete Minderjährigkeit glaubhaft zu machen (vgl. EMARK 2001 Nrn. 22 und 23). 3.2 Am 29. Juli 2015 ersuchte das SEM die italienischen Behörden um Übernahme des Beschwerdeführers gestützt auf Art. 13 Abs. 1 Dublin-III-VO. Die italienischen Behörden liessen das Übernahmeersuchen innert der in Art. 22 Abs. 1 Dublin-III-VO vorgesehenen Frist unbeantwortet, womit sie die Zuständigkeit Italiens implizit anerkannten (Art. 22 Abs. 7 Dublin-III-VO). Die grundsätzliche Zuständigkeit Italiens wird vom Beschwerdeführer in seinen Eingaben denn auch nicht bestritten. Demzufolge ist die Zuständigkeit Italiens gegeben. 3.3 Im Lichte von Art. 3 Abs. 2 Dublin-III-VO ist zu prüfen, ob es wesentliche Gründe für die Annahme gibt, der Beschwerdeführer würde im Falle einer Rückführung nach Italien menschenunwürdige Zustände sowie kein faires Asylverfahren zu erwarten haben, das Asylverfahren und die Aufnahmebedingungen für Asylsuchende in Italien würden also systemische Schwachstellen aufweisen, die eine Gefahr einer unmenschlichen oder entwürdigenden Behandlung im Sinne von Art. 4 EU-Grundrechtecharta mit sich bringen würden. Zwar können Asylsuchende gemäss der Praxis des Bundesverwaltungsgerichts unmittelbar aus der Souveränitätsklausel keine rechtlich durchsetzbaren Ansprüche ableiten (vgl. BVGE 2010/45), sich aber in einem Beschwerdeverfahren auf die Verletzung einer direkt anwendbaren Bestimmung des internationalen öffentlichen Rechts oder einer Norm des Landesrechts - insbesondere Art. 29a Abs. 3 AsylV 1 -, welche einer Überstellung entgegenstehen, berufen. Falls die Rüge begründet ist, muss die Souveränitätsklausel angewendet werden und die Schweiz muss sich für die Prüfung des Asylgesuchs zuständig erklären (vgl. BVGE 2010/45 E. 5). 3.4 Vorab ist festzuhalten, dass Italien Signatarstaat der EMRK, des Übereinkommens vom 10. Dezember 1984 gegen Folter und andere grausame, unmenschliche oder erniedrigende Behandlung oder Strafe (FoK, SR 0.105), der FK sowie des Zusatzprotokolls der FK vom 31. Januar 1967 (SR 0.142.301) ist. Es bestehen keine konkreten Hinweise dafür, dass sich Italien im konkreten Fall nicht an die daraus resultierenden Verpflichtungen halten würde. Zwar steht das italienische Fürsorgesystem für Asylsuchende und Personen mit Schutzstatus in der Kritik (vgl. u.a. die Berichte der SFH, Aufnahmebedingungen in Italien - Aktuelle Situation von Asylsuchenden und Schutzberechtigten, insbesondere Dublin-Rückkehrenden in Italien, Bern, August 2016; Muriel Trummer, Bewegungsfreiheit in Italien für mittellose Personen mit Schutzstatus - Abklärungen im Nachgang zum Urteil des Bundesverwaltungsgerichts vom 14. November 2013, D-4751/2013, Bern, 4. August 2014; UNHCR, Recommendations on Important Aspects of Refugee Protection in Italy, Juli 2013, Ziff. 5: "Reception conditions for asylum-seekers"). Gemäss den bisherigen Erkenntnissen des Bundesverwaltungsgerichts ist jedoch nicht erstellt, dass Italien systematisch gegen die Be-stimmungen der Richtlinie des Europäischen Parlaments und des Rates 2013/32/EU vom 26. Juni 2013 zu gemeinsamen Verfahren für die Zuerkennung und Aberkennung des internationalen Schutzes (Verfahrensrichtlinie) sowie der Aufnahmerichtlinie verstossen würde. Diese Ansicht wird durch den Europäischen Gerichtshof für Menschenrechte (EGMR) bestätigt, indem dieser in seiner bisherigen Rechtsprechung festhält, dass in Italien kein systematischer Mangel in Bezug auf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gegen Niederlande und Italien vom 2. April 2013, 27725/10, § 78). Aus weiteren Urteilen des EGMR (vgl. EGMR: Entscheidung A.S. gegen Schweiz vom 30. Juni 2015, 39350/13; Tarakhel gegen Schweiz vom 4. November 2014, 29217/12) ergibt sich keine wesentlich andere Einschätzung. Auch aus den weiteren Vorbringen in der Beschwerde lässt sich nichts Gegenteiliges schliessen. Im Rahmen des dem Beschwerdeführer bei der BzP gewährten rechtlichen Gehörs führte er an, er habe in Italien gesehen, dass viele Somalier nicht unterstützt würden und auch keine Unterkunft hätten. Daraus lassen sich jedoch keine konkreten und substanziierten persönlichen Schwierigkeiten des Beschwerdeführers in Italien ersehen. Der Vollständigkeit halber ist festzuhalten, dass die Dublin-III-VO den Schutzsuchenden kein Recht einräumt, den ihren Antrag prüfenden Staat selber auszuwählen (vgl. auch BVGE 2010/45 E. 8.3). 3.5 Der Beschwerdeführer kann auch aus der Bestimmung von Art. 29a Abs. 3 AsylV 1 nichts für sich ableiten, da diese (in Verbindung mit Art. 17 Abs. 1 Dublin-III-VO) dem SEM einen Ermessensspielraum einräumt und vor dem Hintergrund der persönlichen Situation des Beschwerdeführers und der genügenden Auseinandersetzung des Staatssekretariats mit dieser kein Anlass zur Annahme besteht, das SEM hätte seinen Ermessensspielraum nicht ordnungsgemäss genutzt, womit jedenfalls keine Rechtsverletzung im Sinne von Art. 106 Abs. 1 AsylG ersichtlich ist (vgl. BVGE 2015/9 E. 4 ff.).</w:t>
      </w:r>
    </w:p>
    <w:p>
      <w:r>
        <w:rPr>
          <w:b/>
        </w:rPr>
        <w:t>E. 4</w:t>
      </w:r>
    </w:p>
    <w:p>
      <w:r>
        <w:t>Somit bleibt Italien der für die Behandlung des Asylgesuchs des Be­schwer­deführers zuständige Mitgliedstaat gemäss Dublin-III-VO. Italien ist verpflichtet, ihn gemäss Art. 22 und 29 Dublin-III-VO aufzunehmen.</w:t>
      </w:r>
    </w:p>
    <w:p>
      <w:r>
        <w:rPr>
          <w:b/>
        </w:rPr>
        <w:t>E. 5.1</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5.2</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 6.1 Nach dem Gesagten ist die Beschwerde abzuweisen und die Verfügung des SEM zu bestätigen. 6.2 Das Beschwerdeverfahren ist mit vorliegendem Urteil abgeschlossen, weshalb sich die Anträge auf Erteilung der aufschiebenden Wirkung und auf Erlass des Kostenvorschusses als gegenstandslos erweisen. Bereits mit Verfügung vom 10. November 2015 wurde der Vollzug der Wegweisung gestützt auf Art. 56 VwVG einstweilen ausgesetzt.</w:t>
      </w:r>
    </w:p>
    <w:p>
      <w:r>
        <w:rPr>
          <w:b/>
        </w:rPr>
        <w:t>E. 7.1</w:t>
      </w:r>
    </w:p>
    <w:p>
      <w:r>
        <w:t>Der Beschwerdeführer ersuchte ausdrücklich und ausschliesslich um Gewährung der unentgeltlichen Rechtspflege gemäss Art. 65 Abs. 2 VwVG. Die Beurteilung dieses Gesuches setzt jedoch voraus, dass die Kriterien von Art. 65 Abs. 1 VwVG erfüllt sind. In Anbetracht der Begründung des Gesuchs um Gewährung der unentgeltlichen Rechtspflege gemäss Art. 65 Abs. 2 VwVG ist davon auszugehen, es sei ein entsprechendes Gesuch implizit gestellt worden. Es ist von der Bedürftigkeit des Beschwerdeführers auszugehen. Auch können die Begehren der Beschwerde mit Blick auf die Verhältnisse im Zeitpunkt der Gesuchseinreichung nicht als aussichtslos bezeichnet werden, weshalb das implizit gestellte Gesuch um unentgeltliche Prozessführung gemäss Art. 65 Abs. 1 VwVG gutzuheissen und auf die Auferlegung von Verfahrenskosten zu verzichten ist.</w:t>
      </w:r>
    </w:p>
    <w:p>
      <w:r>
        <w:rPr>
          <w:b/>
        </w:rPr>
        <w:t>E. 7.2</w:t>
      </w:r>
    </w:p>
    <w:p>
      <w:r>
        <w:t>Gemäss Art. 65 Abs. 2 VwVG wird einer mittellosen Partei, soweit es zur Wahrung ihrer Rechte notwendig ist, in einem nicht aussichtslosen Verfahren eine Anwältin oder ein Anwalt bestellt. Ausschlaggebend für die Gewährung der unentgeltlichen Rechtsverbeiständung im Sinne von Art. 65 Abs. 2 VwVG ist das Kriterium, ob die beschwerdeführende Partei zur Wahrung ihrer Rechte notwendigerweise der professionellen juristischen Hilfe eines Anwaltes bedarf (vgl. dazu BGE 128 I 225 E. 2.5.2 S. 232 f.; 122 I 49 E. 2c S. 51 ff.; 120 Ia 43 E. 2a S. 44 ff.). In Verfahren, welche - wie das vorliegende - vom Untersuchungsgrundsatz beherrscht sind, sind strenge Massstäbe an die Gewährung der unentgeltlichen Verbeiständung anzusetzen (vgl. EMARK 2000 Nr. 6 sowie BGE 122 I 8 E. 2c S. 10). Im asylrechtlichen Beschwerdeverfahren sind besondere Rechtskenntnisse zur wirksamen Beschwerdeführung im Regelfall nicht unbedingt erforderlich. Aus diesen Gründen wird die unentgeltliche Verbeiständung im Sinne von Art. 65 Abs. 2 VwVG praxisgemäss nur in den besonderen Fällen gewährt, in welchen in rechtlicher oder tatsächlicher Hinsicht erhöhte Schwierigkeiten bestehen. Jedoch erscheint das vorliegende Verfahren weder in tatsächlicher noch in rechtlicher Hinsicht besonders komplex, weshalb das Gesuch um unentgeltliche Rechtsverbeiständung im Sinne von Art. 65 Abs. 2 VwVG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