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D-7136/2025 vom 10. September 2025</w:t>
      </w:r>
    </w:p>
    <w:p>
      <w:r>
        <w:t>Bundesverwaltungsgericht, 2025-09-10, DE</w:t>
      </w:r>
    </w:p>
    <w:p>
      <w:r>
        <w:rPr>
          <w:b/>
        </w:rPr>
        <w:t xml:space="preserve">Quelle: </w:t>
      </w:r>
      <w:r>
        <w:t>https://mcp.opencaselaw.ch/entscheid/bvger_D-7136_2025_d20250910</w:t>
      </w:r>
    </w:p>
    <w:p>
      <w:r>
        <w:t>FR: TAF D-7136/2025 du 10 septembre 2025</w:t>
      </w:r>
    </w:p>
    <w:p>
      <w:r>
        <w:t>IT: TAF D-7136/2025 del 10 settembre 2025</w:t>
      </w:r>
    </w:p>
    <w:p>
      <w:pPr>
        <w:pStyle w:val="Heading2"/>
      </w:pPr>
      <w:r>
        <w:t>Regeste</w:t>
      </w:r>
    </w:p>
    <w:p>
      <w:r>
        <w:t>Asyl und Wegweisung (beschleunigtes Verfahren) | Asyl und Wegweisung (beschleunigtes Verfahren); Asyl und Wegweisung (beschleunigtes Verfahren); Verfügung des SEM vom 10. September 2025</w:t>
      </w:r>
    </w:p>
    <w:p>
      <w:pPr>
        <w:pStyle w:val="Heading2"/>
      </w:pPr>
      <w:r>
        <w:t>Erwägungen</w:t>
      </w:r>
    </w:p>
    <w:p>
      <w:r>
        <w:rPr>
          <w:b/>
        </w:rPr>
        <w:t>E. 1</w:t>
      </w:r>
    </w:p>
    <w:p>
      <w:r>
        <w:t>Gemäss Art. 31 VGG ist das Bundesverwaltungsgericht zur Beurteilung von Beschwerden gegen Verfügungen nach Art. 5 VwVG zuständig und</w:t>
      </w:r>
    </w:p>
    <w:p>
      <w:r>
        <w:t>D-7136/2025 Seite 4 entscheidet auf dem Gebiet des Asyls in der Regel – wie auch vorliegend – endgültig (vgl. Art. 83 Bst. d Ziff. 1 BGG; Art. 105 AsylG [SR 142.31]). Der Beschwerdeführer ist als Verfügungsadressat zur Beschwerdeführung le- gitimiert (Art. 48 VwVG). Auf die frist- und formgerechte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Der in Art. 5 Abs. 3 und Art. 9 BV verankerte Grundsatz von Treu und Glauben statuiert ein Verbot widersprüchlichen Verhaltens und verleiht</w:t>
      </w:r>
    </w:p>
    <w:p>
      <w:r>
        <w:t>D-7136/2025 Seite 5 Rechtssuchenden unter gewissen Voraussetzungen Anspruch auf Schutz ihres Vertrauens auf die Richtigkeit behördlichen Handelns oder sonstiges, bestimmte Erwartungen begründendes Verhalten der Behörden. Als Verbot widersprüchlichen Verhaltens untersagt der Grundsatz von Treu und Glau- ben sowohl den Behörden wie auch den Privaten, sich in ihren öffentlich- rechtlichen Rechtsbeziehungen widersprüchlich oder rechtsmissbräuch- lich zu verhalten. Er gebietet staatlichen Organen und Privaten ein loyales und vertrauenswürdiges Verhalten im Rechtsverkehr (vgl. BGE 143 V 66 E. 4.3 und 137 V 394 E. 7.1).</w:t>
      </w:r>
    </w:p>
    <w:p>
      <w:r>
        <w:rPr>
          <w:b/>
        </w:rPr>
        <w:t>E. 4.4.1</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4–7). Die vorinstanzli- che Schlussfolgerung ist nicht zu beanstanden. Die Vorbringen in der Be- schwerde sowie der Beschwerdeergänzung sind nicht ansatzweise geeig- net, zu einer von der Vorinstanz abweichenden Betrachtungsweise zu ge- langen, vermögen sie dieser doch nichts Stichhaltiges entgegenzuhalten (vgl. Beschwerde S. 1; Beschwerdeergänzung S. 4 ff.).</w:t>
      </w:r>
    </w:p>
    <w:p>
      <w:r>
        <w:rPr>
          <w:b/>
        </w:rPr>
        <w:t>E. 4.4.2</w:t>
      </w:r>
    </w:p>
    <w:p>
      <w:r>
        <w:t>Der Beschwerdeführer macht im Wesentlichen geltend, er sei auf- grund seiner Tätigkeit als (…) in Tunesien mit Verachtung, Drohungen und tätlichen Angriffen bis hin zu zweifacher Vergewaltigung konfrontiert wor- den. Die Ablehnung und Verfolgung gründe darin, dass seine Tätigkeit von seinem sozialen Umfeld als «unmännlich», «haram» und Ausdruck einer homosexuellen Identität oder von Prostitution angesehen werde. Er werde somit nicht wegen seines Tuns, sondern wegen eines ihm zugeschriebe- nen Identitätsmerkmals verfolgt, was ein asylrelevantes Motiv darstelle.</w:t>
      </w:r>
    </w:p>
    <w:p>
      <w:r>
        <w:rPr>
          <w:b/>
        </w:rPr>
        <w:t>E. 4.4.3</w:t>
      </w:r>
    </w:p>
    <w:p>
      <w:r>
        <w:t>Die Vorinstanz qualifizierte die geltend gemachten Nachteile als nicht flüchtlingsrechtlich relevant, da die Verfolgung auf das Handeln des Be- schwerdeführers – seine Tätigkeit als (…) – abziele und nicht auf einem der in Art. 3 AsylG genannten Gründe beruhe.</w:t>
      </w:r>
    </w:p>
    <w:p>
      <w:r>
        <w:rPr>
          <w:b/>
        </w:rPr>
        <w:t>E. 4.5.1</w:t>
      </w:r>
    </w:p>
    <w:p>
      <w:r>
        <w:t>Der Beschwerdeführer legte im erstinstanzlichen Verfahren wieder- holt und konsistent dar, dass die Probleme mit seiner Arbeit zusammenhin- gen. Auf die Frage nach seinen Asylgründen nannte er an erster Stelle sei- nen Beruf (vgl. SEM-act. 17/15 F43). Die Drohungen seien aufgekommen,</w:t>
      </w:r>
    </w:p>
    <w:p>
      <w:r>
        <w:t>D-7136/2025 Seite 6 als er begonnen habe, Kindern artistische Fertigkeiten beizubringen (vgl. SEM-act. 17/15 F43, 63). Die von ihm geschilderte Verfolgung entsprang demnach primär der dezidierten Ablehnung seiner konkreten Tätigkeit durch einen begrenzten Personenkreis – namentlich seine Verwandten und die Familien der von ihm unterrichteten Kinder in seinem Heimatdorf. Die Vorwürfe, er sei «kein richtiger Mann», stehen in direktem und kausa- lem Zusammenhang mit der Ausübung seiner aus Sicht der Verfolger un- konventionellen und als unmännlich empfundenen Profession. Es handelt sich um die Umschreibung des missbilligten Verhaltens, nicht um die Ver- folgung aufgrund eines inhärenten oder zugeschriebenen Identitätsmerk- mals im Sinne von Art. 3 AsylG. Die geltend gemachten Übergriffe basieren somit, wie die Vorinstanz zutreffend festhielt, auf gemeinrechtlichen Delik- ten und Racheakten, die durch das Tun des Beschwerdeführers provoziert wurden, nicht durch sein Sein. Dass die (…) in Tunesien nicht per se zu Verfolgung führt, belegt der Be- schwerdeführer denn auch indirekt selbst. Er gab an, dass nach der Schliessung der staatlichen (…) Privatfirmen und Amateurgruppen ent- standen seien, mit denen er landesweit, insbesondere in touristischen Zen- tren wie G._______ und H._______, zusammengearbeitet habe (vgl. SEM- act. 17/15 F50 f.). Dies deutet darauf hin, dass die Ausübung seiner Tätig- keit in anderen Landesteilen und Kontexten möglich war, ohne die von ihm in seinem Heimatdorf erlebte, intensive Feindseligkeit hervorzurufen. Würde seiner Argumentation gefolgt, dass (…) generell ein abgelehntes sexuelles Identitätsmerkmal zugeschrieben werde, müssten sämtliche (…) in Tunesien von Verfolgung bedroht sein. Anhaltspunkte dafür sind indes weder in den Akten noch anderweitig ersichtlich.</w:t>
      </w:r>
    </w:p>
    <w:p>
      <w:r>
        <w:rPr>
          <w:b/>
        </w:rPr>
        <w:t>E. 4.5.2</w:t>
      </w:r>
    </w:p>
    <w:p>
      <w:r>
        <w:t>Soweit der Beschwerdeführer im Rahmen seiner Beschwerdeergän- zung geltend macht, der Grund seiner Verfolgung sei in der Verknüpfung seiner Tätigkeit mit einer homosexuellen Identität zu verorten, weil männli- che Vergewaltigungsopfer in Tunesien nicht als Opfer, sondern als «pas- sive» Teilnehmer einer strafbaren homosexuellen Handlung betrachtet würden, ist dieser Argumentation nicht zu folgen. Übergriffe durch Dritte sind nur dann asylrelevant, wenn der Heimatstaat nicht willens oder in der Lage ist, Schutz zu gewähren. Der Beschwerdeführer hat nicht in genü- gender Weise dargelegt und es sind auch aus den in den in der Beschwer- deergänzung zitierten Quellen oder sonst keine Anhaltspunkte ersichtlich, dass ihm der Schutz durch die tunesischen Behörden generell verweigert würde (vgl. SEM-act. 26/13 F52). Vor (…) seien seine Aussagen wegen Verleumdung protokolliert worden, nach (…) habe die Polizei seine</w:t>
      </w:r>
    </w:p>
    <w:p>
      <w:r>
        <w:t>D-7136/2025 Seite 7 Anzeige bezüglich der Vergewaltigung nicht mehr aufgenommen und ihm Vorwürfe wegen seiner Tätigkeit gemacht (vgl. SEM-act. 26/13 F54). Auch wenn das Verhalten einzelner Polizeibeamter als unzureichend und vor- werfbar erscheinen mag, kann daraus nicht auf eine generelle Schutzun- willigkeit des gesamten tunesischen Staatsapparates geschlossen werden. Es wäre dem Beschwerdeführer zumutbar gewesen, sich an eine höhere polizeiliche Instanz oder direkt an die Justizbehörden zu wenden, gegebe- nenfalls unter Beizug eines Rechtsanwalts. Dass er nach einer negativen Erfahrung auf weitere Bemühungen verzichtete, ist zwar menschlich nach- vollziehbar, genügt aber nicht, um die Schutzfähigkeit und den Schutzwil- len des Staates grundsätzlich in Abrede zu stellen. Gegen einen generell fehlenden Schutzwillen des Staates spricht zudem die eigene Aussage des Beschwerdeführers, sein Peiniger sei bereits «tau- sende Male» im Gefängnis gewesen (vgl. SEM-act. 26/13 F28). Dies be- legt, dass die tunesischen Behörden durchaus in der Lage und willens sind, gegen bekannte Straftäter vorzugehen. Die Behauptung, der Täter ge- niesse absolute Immunität oder werde vom Staat protegiert, wird dadurch entkräftet. Es ist davon auszugehen, dass eine Anzeige wegen Vergewal- tigung gegen eine den Behörden bereits bekannte und einschlägig vorbe- strafte Person Aussicht auf Erfolg gehabt hätte.</w:t>
      </w:r>
    </w:p>
    <w:p>
      <w:r>
        <w:rPr>
          <w:b/>
        </w:rPr>
        <w:t>E. 4.5.3</w:t>
      </w:r>
    </w:p>
    <w:p>
      <w:r>
        <w:t>Soweit in der Beschwerdeergänzung neu argumentiert wird, die tat- sächliche, wenn auch bewusst offengelassene sexuelle Orientierung des Beschwerdeführers sei ein entscheidrelevantes Element, kann diesem Vorbringen aus prozessualen Gründen nicht gefolgt werden. Es ist festzu- halten, dass der Beschwerdeführer sein Asylgesuch zu keinem Zeitpunkt des erstinstanzlichen Verfahrens damit begründet hat, er sei homosexuell. Sein gesamtes Vorbringen basierte konsequent darauf, dass ihm diese Ei- genschaft aufgrund seiner als «unmännlich» wahrgenommenen Tätigkeit von Dritten zugeschrieben wurde. Im Rahmen seiner zweiten, detaillierten Anhörung wurde der Beschwerdeführer von seiner Rechtsvertretung direkt auf seine sexuelle Orientierung angesprochen, machte aber auch auf die präzisierende Nachfrage keine Aussage. (vgl. SEM-act. 26/13 F64 f.). Dem Beschwerdeführer wäre es unbenommen gewesen, im geschützten Rah- men der Anhörung und auf direkte Frage seines eigenen Rechtsbeistandes hin eine allfällige Homosexualität als zentralen Asylgrund offenzulegen, insbesondere in der ergänzenden Anhörung, die auf seinen Wunsch hin in einem rein weiblichen Befragungsteam stattfand. Indem er es unterliess, diesbezüglich klare Angaben zu machen und nun erst auf Beschwerde- ebene die Frage seiner tatsächlichen sexuellen Orientierung als relevant</w:t>
      </w:r>
    </w:p>
    <w:p>
      <w:r>
        <w:t>D-7136/2025 Seite 8 darstellt, verletzt er seine Mitwirkungspflicht und handelt treuwidrig. Der Beschwerdeführer kann sich nach Treu und Glauben sodann nicht auf eine Verletzung des Untersuchungsgrundsatzes berufen, wenn er die Abklärung eines von ihm im Rahmen der Beschwerdeergänzung erstmals als rechts- erheblich dargestellten Sachverhaltselements – seiner sexuellen Orientie- rung – durch sein ausweichendes Antwortverhalten und in Verletzung sei- ner Mitwirkungspflicht selbst vereitelt hat. Aus den Akten oder anderweitig ist im Übrigen keine mangelhafte Sachverhaltsabklärung durch die Vo- rinstanz ersichtlich, weshalb der Subeventualantrag auf Rückweisung an die Vorinstanz abzuweisen ist.</w:t>
      </w:r>
    </w:p>
    <w:p>
      <w:r>
        <w:rPr>
          <w:b/>
        </w:rPr>
        <w:t>E. 4.5.4</w:t>
      </w:r>
    </w:p>
    <w:p>
      <w:r>
        <w:t>Dem Beschwerdeführer steht eine innerstaatliche Fluchtalternative offen. Die von ihm geschilderte Verfolgung ist stark regional und personell begrenzt. Sie geht hauptsächlich von seinem Familienclan und den Be- wohnern seines Heimatdorfes aus (vgl. SEM-act. 17/15 F69, 72). Der Be- schwerdeführer hat selbst über längere Zeiträume in anderen Landesteilen wie F._______ in der Provinz I._______ gelebt, rund 350 km von seinem Herkunftsort entfernt (vgl. SEM-act. 26/13 F18, 32). Zwar führte er an, auch dort mittels Nachrichten bedroht worden zu sein, doch ging die akute phy- sische Gefahr von seinem lokalen Umfeld aus. Die zweite Vergewaltigung im Jahr (…) soll nach seinen eigenen Angaben ein gezielt organisierter Akt gewesen sein, für den die Täter eine weite Anreise in Kauf nehmen muss- ten (vgl. SEM-act. 26/13 F36, 42, 62). Es ist nicht davon auszugehen, dass die Verfolger ihm im ganzen Land nachstellen würden. Als junger, arbeits- erfahrener Mann wäre es ihm zumutbar, sich in einer urbanen Grossstadt wie E._______, wo er selbst von einer offeneren Atmosphäre sprach (vgl. SEM-act. 17/15 F78), eine neue Existenzgrundlage aufzubauen und sich so dem Einflussbereich seiner Verfolger zu entziehen.</w:t>
      </w:r>
    </w:p>
    <w:p>
      <w:r>
        <w:rPr>
          <w:b/>
        </w:rPr>
        <w:t>E. 4.5.5</w:t>
      </w:r>
    </w:p>
    <w:p>
      <w:r>
        <w:t>Schliesslich lässt sich das deliktische Verhalten des Beschwerdefüh- rers in der Schweiz kaum mit dem Verhalten eines Menschen in Einklang bringen, der von seinem Gastland dringend Schutz vor Verfolgung benö- tigt.</w:t>
      </w:r>
    </w:p>
    <w:p>
      <w:r>
        <w:rPr>
          <w:b/>
        </w:rPr>
        <w:t>E. 4.6</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t>D-7136/2025 Seite 9</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D-7136/2025 Seite 10 festgestellt, ist – unter Vorbehalt von Art. 83 Abs. 7 AIG – die vorläufige Aufnahme zu gewähren.</w:t>
      </w:r>
    </w:p>
    <w:p>
      <w:r>
        <w:rPr>
          <w:b/>
        </w:rPr>
        <w:t>E. 6.4.1</w:t>
      </w:r>
    </w:p>
    <w:p>
      <w:r>
        <w:t>Weder die allgemeine Lage in Tunesien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(vgl. angefochtene Verfügung S. 7 f.). Der Beschwerdeführer verfügt über Arbeitserfahrungen in ver- schiedenen Branchen (vgl. SEM-act. 17/15 F53, 58; 26/13 F57) sowie über ein familiäres Beziehungsnetz und zahlreiche Freunde in Tunesien, bei welchen er während seines dortigen Aufenthalts hat leben können. Es ist zudem davon auszugehen, dass es ihm angesichts seiner Ausbildung, sei- nes Alters und seiner Berufserfahrungen möglich sein wird, einer Erwerbs- tätigkeit nachgehen zu können und er damit bei einer Rückkehr in die in keine existenzbedrohende Notlage geraten dürfte. Dies gilt umso mehr, als der Beschwerdeführer selber angab, sein Einkommen habe für den eige- nen Lebensunterhalt stets ausgereicht (vgl. SEM-act. 15/17 F50).</w:t>
      </w:r>
    </w:p>
    <w:p>
      <w:r>
        <w:rPr>
          <w:b/>
        </w:rPr>
        <w:t>E. 6.4.2</w:t>
      </w:r>
    </w:p>
    <w:p>
      <w:r>
        <w:t>Auf Unzumutbarkeit des Wegweisungsvollzugs aus medizinischen Gründen ist nach konstanter Praxis dann zu schliessen, wenn eine not- wendige medizinische Behandlung im Heimatland nicht zur Verfügung steht und die Rückkehr zu einer raschen und lebensgefährdenden Beein- trächtigung des Gesundheitszustands führen würde (vgl. BVGE 2009/2 E. 9.3.1). Der Beschwerdeführer verweist auf (…). Bei diesen Leiden ist weder eine akut vitale Gefährdung noch eine Situation ausgewiesen oder anderweitig ersichtlich, die bei der Rückkehr zu einer raschen und lebens- bedrohlichen Verschlechterung des Gesundheitszustands führen würde. Wie die Vorinstanz zutreffend dargelegt hat, sind Behandlungen für die vom Beschwerdeführer geltend gemachten Beschwerden in Tunesien ver- fügbar. Das dortige Gesundheitssystem verfügt insbesondere in den urba- nen Regionen wie E._______ über zahlreiche staatliche und private Ein- richtungen, die eine adäquate Versorgung sicherstellen. Zudem ist davon auszugehen, dass dem Beschwerdeführer das tunesische Gesundheits- system bekannt und er in der Lage ist, dieses zu nutzen. Es ist deshalb nicht anzunehmen, seine Rückkehr nach Tunesien würde zu einer Beein- trächtigung seines Gesundheitszustandes führen. Damit erweist sich auch der Vollzug der Wegweisung als zumutbar.</w:t>
      </w:r>
    </w:p>
    <w:p>
      <w:r>
        <w:t>D-7136/2025 Seite 11</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D-7136/2025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