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D-7131/2025 vom 23. Oktober 2025</w:t>
      </w:r>
    </w:p>
    <w:p>
      <w:r>
        <w:t>Bundesverwaltungsgericht, 2025-10-23, DE</w:t>
      </w:r>
    </w:p>
    <w:p>
      <w:r>
        <w:rPr>
          <w:b/>
        </w:rPr>
        <w:t xml:space="preserve">Quelle: </w:t>
      </w:r>
      <w:r>
        <w:t>https://mcp.opencaselaw.ch/entscheid/bvger_D-7131_2025</w:t>
      </w:r>
    </w:p>
    <w:p>
      <w:r>
        <w:t>FR: TAF D-7131/2025 du 23 octobre 2025</w:t>
      </w:r>
    </w:p>
    <w:p>
      <w:r>
        <w:t>IT: TAF D-7131/2025 del 23 ottobre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D-7131/2025 Seite 4</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Der Kostenvor- schuss wurde fristgerecht bezahlt.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Bundesverwaltungsgericht entscheidet über offensichtlich unbegrün- dete Beschwerden in einzelrichterlicher Zuständigkeit mit Zustimmung ei- nes zweiten Richters beziehungsweise einer zweiten Richterin (Art. 111 Bst. e AsylG). Wie nachfolgend aufgezeigt wird, handelt es sich vorliegend um ein solches Rechtsmittel, weshalb das Urteil nur summarisch zu be- 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D-7131/2025 Seite 5 Tatsachen nicht entsprechen oder massgeblich auf gefälschte oder ver- fälschte Beweismittel abgestützt werden (Art. 7 AsylG).</w:t>
      </w:r>
    </w:p>
    <w:p>
      <w:r>
        <w:rPr>
          <w:b/>
        </w:rPr>
        <w:t>E. 5.1</w:t>
      </w:r>
    </w:p>
    <w:p>
      <w:r>
        <w:t>Zur Begründung seiner Verfügung führte das SEM aus, der Beschwer- deführer habe nicht überzeugend darlegen können, weshalb er C._______ Wunsch erfüllt und vom Sexualakt Bilder und Videos angefertigt habe. Auch wenn bei der Bewertung von individuellen Handlungen Vorsicht ge- boten sei, sei dieses Verhalten nicht nachvollziehbar, zumal er angegeben habe, er fühle sich eigentlich zu Frauen und nicht zu Männern hingezogen. Weiter seien seine Schilderungen des sexuellen Kontakts unsubstanziiert ausgefallen. Zudem laute Art. 393 Abs. 1 des irakischen Strafgesetzbuches in der englischen Version «Any person who […] commits buggery with any person without their consent is punishable by a term of imprisonmnent not exceeding 15 years.» Einvernehmlicher homosexueller Geschlechtsver- kehr stehe gemäss diesem Gesetzesartikel somit nicht unter Strafe. Ange- sichts dessen erstaune es, dass sich der Beschwerdeführer nicht den Be- hörden gestellt und sich verteidigt habe, zumal die Initiative zum Ge- schlechtsverkehr von C._______ ausgegangen sei. Insgesamt erwiesen sich seine Aussagen als teilweise widersprüchlich, unlogisch und unglaub- haft. Die vorgelegten Beweismittel, eine undatierte Polizeivorladung sowie ein Haftbefehlsbeschluss vom 24. Juni 2025, vermöchten an dieser Ein- schätzung nichts zu ändern. Erfahrungsgemäss seien solche Dokumente leicht käuflich erhältlich und mangels Sicherheitsmerkmalen liessen sich diese einfach fälschen. Selbst formell echten amtlichen Dokumenten aus dem Irak könne nur dann eine relevante Beweiskraft beigemessen werden, wenn diese im Kontext eines hinreichend schlüssigen Sachverhaltsvor- trags eingereicht würden. Dies sei vorliegend jedoch nicht der Fall.</w:t>
      </w:r>
    </w:p>
    <w:p>
      <w:r>
        <w:rPr>
          <w:b/>
        </w:rPr>
        <w:t>E. 5.2</w:t>
      </w:r>
    </w:p>
    <w:p>
      <w:r>
        <w:t>In der Beschwerde wurde im Wesentlichen geltend gemacht, das SEM stütze seinen ablehnenden Asylentscheid primär auf die angebliche Un- glaubhaftigkeit der Aussagen. Es verkenne dabei jedoch die wesentlichen Beweismittel. Zwischenzeitlich habe das Ermittlungsgericht B._______ den Beschwerdeführer gestützt auf Art. 393 des irakischen Strafgesetzbu- ches in Abwesenheit zu sechs Jahren Freiheitsstrafe verurteilt, was von einem irakischen Anwalt bestätigt worden sei. Durch diese Dokumente sei belegt, dass ihm eine erhebliche Strafe und damit eine Verfolgung im Sinne von Art. 3 AsylG drohe. Das Urteil basiere auf der Kriminalisierung homo- sexueller Handlungen und der Beschwerdeführer werde nicht wegen einer gewöhnlichen Straftat, sondern aufgrund seiner sexuellen Orientierung verfolgt. Trotz der vorgelegten amtlichen Gerichtsunterlagen habe das</w:t>
      </w:r>
    </w:p>
    <w:p>
      <w:r>
        <w:t>D-7131/2025 Seite 6 SEM darauf verzichtet, vertiefte Abklärungen – etwa über die Botschaft, die Einholung einer Echtheitsbestätigung oder Länderexpertisen – vorzuneh- men. Im Irak würden Homosexuelle regelmässig diskriminiert, verfolgt und Opfer von Gewalt, wobei auch die kurdische Regionalregierung Betroffene nicht effektiv schütze. Es komme zu willkürlichen Festnahmen und Miss- handlungen in Haft, während bei Übergriffen auf LGBTIQ-Personen keine Ermittlungen vorgenommen würden. In der Gesellschaft werde Homose- xualität tabuisiert und stigmatisiert. Den Betroffenen drohten neben Straf- verfolgung, Freiheitsentzug sowie Gewalt durch nichtstaatliche Akteure auch familiäre Repressionen und existenzielle Nachteile, etwa bei der Ar- beit oder durch Verlust der Wohnung. Im Fall des Beschwerdeführers sei mit dem ergangenen Urteil bereits eine staatliche Verfolgung eingetreten gestützt auf Normen, die zur Kriminalisierung homosexueller Handlungen herangezogen würden. Er erfülle somit die Voraussetzungen für die Aner- kennung der Flüchtlingseigenschaft.</w:t>
      </w:r>
    </w:p>
    <w:p>
      <w:r>
        <w:rPr>
          <w:b/>
        </w:rPr>
        <w:t>E. 6.1</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 Glaubhaftmachung eines Verfolgungsschicksals ist eine die eigenen Erleb- nisse betreffende, substanziierte,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des Be- schwerdeführenden sprechen, überwiegen oder nicht. Demgegenüber reicht es für die Glaubhaftmachung nicht aus, wenn der Inhalt eines Vor- bringens zwar möglich ist, aber in Würdigung der gesamten Umstände we- sentliche Elemente gegen die vorgebrachte Sachverhaltsdarstellung spre- chen (vgl. BVGE 2015/3 E. 6.5.1, BVGE 2013/11 E. 5.1).</w:t>
      </w:r>
    </w:p>
    <w:p>
      <w:r>
        <w:rPr>
          <w:b/>
        </w:rPr>
        <w:t>E. 6.2.1</w:t>
      </w:r>
    </w:p>
    <w:p>
      <w:r>
        <w:t>In Übereinstimmung mit dem SEM ist festzustellen, dass die Schilde- rungen des Beschwerdeführers zu seinen Asylgründen äusserst unsub- stanziiert ausgefallen sind. Er vermochte insbesondere nicht nachvollzieh- bar zu erklären, wie es zum sexuellen Kontakt mit C._______ gekommen</w:t>
      </w:r>
    </w:p>
    <w:p>
      <w:r>
        <w:t>D-7131/2025 Seite 7 sei. Diesbezüglich führte er lediglich aus, C._______ habe irgendwann ein- mal von ihm verlangt, mit ihm zu schlafen, und er habe dies getan (vgl. SEM-Akte […] [nachfolgend: Akte]-17/16, F48). Auf entsprechende Nach- fragen wiederholte er das Gesagte jeweils in fast denselben Worten (vgl. Akte 17/16, F58, F63, F121). Da er sich eigenen Angaben zufolge zu Frauen hingezogen fühlt (vgl. Akte 17/16, F60), wäre zu erwarten gewesen, dass er konkretere Ausführungen dazu machen kann, warum er dennoch dem Wunsch von C._______ nachgekommen sei. Seine lapidare Aussage, es sei dazu gekommen und «passiert ist passiert» (vgl. Akte 17/16, F64), erscheint jedenfalls wenig überzeugend. Sodann erschliesst sich auch nicht, aus welchem Grund der Beschwerdeführer auf seinem eigenen Handy Fotos und Videos vom Sexualakt erstellt haben will (vgl. Akte 17/16, F76 f.). Seine Angabe, er habe sie für sich selbst gemacht, um diese auf- zubewahren (vgl. Akte 17/16, F78 ff.), ergibt wenig Sinn, gerade angesichts des in der Beschwerde dargelegten repressiven Umfelds im Irak hinsicht- lich homosexueller Beziehungen. Der Beschwerdeführer vermochte auch nicht zu erklären, weshalb C._______ sich mit einer Anzeige und der Vor- lage der Fotos und Videos bei der Polizei nicht selbst inkriminiert hätte, zumal die Aufnahmen gemäss seinen Angaben einvernehmlichen Ge- schlechtsverkehr zwischen zwei Männern zeigten. Es ist daher nicht er- sichtlich, weshalb ihm sexuelle Gewalt oder Missbrauch vorgeworfen wor- den wäre respektive warum er sich nicht gegen diese Anschuldigung hätte verteidigen können (vgl. Akte 17/16, F81 ff.).</w:t>
      </w:r>
    </w:p>
    <w:p>
      <w:r>
        <w:rPr>
          <w:b/>
        </w:rPr>
        <w:t>E. 6.2.2</w:t>
      </w:r>
    </w:p>
    <w:p>
      <w:r>
        <w:t>Weiter konnte der Beschwerdeführer nicht näher darlegen, wie seine Familie auf den Vorfall reagiert habe. Das Telefonat, in welchem er seinem Vater – nach der Zustellung der polizeilichen Vorladung – davon berichtet habe, schilderte er sehr knapp (vgl. Akte 17/16, F126 ff.). Erst auf konkrete Nachfrage führte er aus, sein Vater sei sauer geworden und habe ihn be- schimpft (vgl. Akte 17/16, F129 f.). Zudem gab er an, dass sich auch sein Onkel für ihn eingesetzt habe, während die anderen Familienmitglieder den Kontakt zu ihm abgebrochen hätten (vgl. Akte 17/16, F95 f.). Er konnte je- doch nicht genau sagen, wer von seinen Verwandten den Kontakt abge- brochen habe, und führte kurz darauf ergänzend aus, seine Mutter und Geschwister hätten ihm ebenfalls helfen wollen (vgl. Akte 17/16, F97 f.). Die unsubstanziierten Ausführungen zur Reaktion seines Vaters sowie die widersprüchlichen Angaben zum angeblichen Kontaktabbruch der anderen Familienmitglieder erhärten die Zweifel an den geltend gemachten Asyl- gründen.</w:t>
      </w:r>
    </w:p>
    <w:p>
      <w:r>
        <w:t>D-7131/2025 Seite 8</w:t>
      </w:r>
    </w:p>
    <w:p>
      <w:r>
        <w:rPr>
          <w:b/>
        </w:rPr>
        <w:t>E. 6.2.3</w:t>
      </w:r>
    </w:p>
    <w:p>
      <w:r>
        <w:t>Insgesamt ist festzuhalten, dass die Ausführungen des Beschwerde- führers zu den fluchtauslösenden Ereignissen auffallend detailarm sind, weder Emotionen noch eigene Überlegungen beinhalten und kaum Inter- aktionsschilderungen aufweisen. Es fehlt ihnen somit weitestgehend an persönlichen Bezügen und Realkennzeichen. Im Rahmen einer Gesamt- betrachtung erweist es sich als nicht glaubhaft, dass er tatsächlich wegen homosexuellen Handlungen strafrechtlich verfolgt wurde.</w:t>
      </w:r>
    </w:p>
    <w:p>
      <w:r>
        <w:rPr>
          <w:b/>
        </w:rPr>
        <w:t>E. 6.3</w:t>
      </w:r>
    </w:p>
    <w:p>
      <w:r>
        <w:t>In der Beschwerde wird geltend gemacht, die strafrechtliche Verfolgung sei angesichts der vorgelegten amtlichen Dokumente erstellt. Das SEM wies jedoch zutreffend darauf hin, dass Unterlagen wie die eingereichten Beweismittel im Irak ohne Weiteres gegen Entgelt erhältlich gemacht wer- den können und mangels Sicherheitsmerkmalen auch leicht fälschbar sind. Es fällt zudem auf, dass mit der Beschwerde ein Abwesenheitsurteil des Ermittlungsgerichts B._______ vom 17. Juli 2025 eingereicht wurde, wel- ches vom Beschwerdeführer anlässlich seiner Anhörung am 29. August 2025 mit keinem Wort erwähnt wurde. Obwohl er gemäss eigenen Anga- ben mit seinem Vater in Kontakt stand, wusste er nicht, wo sein Verfahren steht, respektive welche Strafe ihm bei einer Verurteilung drohe (vgl. Akte 17/16, F31, F101 und F104). Es erstaunt auch, dass innerhalb von wenigen Wochen nach Erlass des Haftbefehls (am 24. Juni 2025) bereits ein Urteil in Abwesenheit ergangen sein sollte. Dieses soll darüber hinaus von einem Ermittlungsgericht ausgesprochen worden sein, obwohl gemäss der iraki- schen Strafprozessordnung im Falle von Verbrechen – und um ein solches handelt es sich bei einem Verstoss gegen Art. 393 des irakischen Strafge- setzbuches (vgl. dazu auch Art. 26 des irakischen Strafgesetzbuches in der englischen Übersetzung auf: https://www.refworld.org/legal/legislation/nat- legbod/1969/en-/103522, abgerufen am 10.10.2025) – nicht das Untersu- chungsgericht, sondern das Strafgericht (Court of Felony, vgl. Art. 138 ira- kische Strafprozessordnung, in der englischen Übersetzung auf: https://kc- interlaw.org/web/viewer.html?file=https://images.kc-interlaw.org/root/root/- images/191982021_gjpi-cpc-1971-kurdish-v2.pdf, abgerufen am 10.10.2025) zuständig wäre. Vor diesem Hintergrund erscheinen die ein- gereichten Beweismittel nicht geeignet, die Asylgründe des Beschwerde- führers zu belegen. Angesichts seiner unglaubhaften Ausführungen muss vielmehr davon ausgegangen werden, dass es sich dabei nicht um authen- tische Dokumente handelt. Bei dieser Sachlage erübrigt es sich auch, wei- tere Abklärungen in Bezug auf diese Unterlagen vorzunehmen.</w:t>
      </w:r>
    </w:p>
    <w:p>
      <w:r>
        <w:rPr>
          <w:b/>
        </w:rPr>
        <w:t>E. 6.4</w:t>
      </w:r>
    </w:p>
    <w:p>
      <w:r>
        <w:t>Zusammenfassend ist festzuhalten, dass es dem Beschwerdeführer nicht gelingt, glaubhaft zu machen, dass er wegen einer sexuellen</w:t>
      </w:r>
    </w:p>
    <w:p>
      <w:r>
        <w:t>D-7131/2025 Seite 9 Handlung mit einem anderen Mann strafrechtlich verfolgt wurde. Eigenen Angaben zufolge ist er auch nicht homosexuell, sondern fühlt sich zu Frauen hingezogen. Folglich gibt es keine Anhaltspunkte dafür, dass er bei einer Rückkehr in den Irak aufgrund seiner sexuellen Orientierung erhebli- che Nachteile seitens der Behörden, durch Drittpersonen oder Familienan- gehörige erleiden könnte. Das SEM hat somit zu Recht seine Flüchtlings- eigenschaft verneint und sein Asylgesuch abgelehnt.</w:t>
      </w:r>
    </w:p>
    <w:p>
      <w:r>
        <w:rPr>
          <w:b/>
        </w:rPr>
        <w:t>E. 7</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w:t>
      </w:r>
    </w:p>
    <w:p>
      <w:r>
        <w:t>D-7131/2025 Seite 10 niemand der Folter oder unmenschlicher oder erniedrigender Strafe oder Behandlung unterworfen werden.</w:t>
      </w:r>
    </w:p>
    <w:p>
      <w:r>
        <w:rPr>
          <w:b/>
        </w:rPr>
        <w:t>E. 8.2.2</w:t>
      </w:r>
    </w:p>
    <w:p>
      <w:r>
        <w:t>Die Vorinstanz wies in der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w:t>
      </w:r>
    </w:p>
    <w:p>
      <w:r>
        <w:rPr>
          <w:b/>
        </w:rPr>
        <w:t>E. 8.2.3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Angesichts der vorstehenden Ausführungen gelingt ihm dies jedoch nicht. Auch die allgemeine Menschenrechtssituation im Nordirak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seinem Referenzurteil D-913/2021 vom 19. März 2024 hat das Bundesverwaltungsgericht seine Praxis zur Frage der Zumutbarkeit des Vollzugs von Wegweisungen in die Autonome Region Kurdistan aktuali- siert. Es hielt dabei fest, dass in den irakisch-kurdischen Provinzen keine</w:t>
      </w:r>
    </w:p>
    <w:p>
      <w:r>
        <w:t>D-7131/2025 Seite 11 Situation allgemeiner Gewalt herrscht und die Sicherheitslage weitgehend stabil ist. Die sozioökonomische Lage ist zwar in gewissen Bereichen als angespannt zu bezeichnen, generell ist aber von einem genügenden Zu- gang zu Strom, Wasser, Bildung und medizinischer Grundversorgung aus- zugehen. Die Anordnung des Wegweisungsvollzugs erscheint damit für al- leinstehende und gesunde kurdische Männer oder Paare, die längere Zeit in der Autonomen Region Kurdistan gelebt haben, in der Regel zumutbar (vgl. zum Ganzen Referenzurteil D-913/2021 vom 19. März 2024 E. 14; siehe auch Urteil des BVGer E-6345/2025 vom 17. September 2025 E. 8.3.2 m.H.).</w:t>
      </w:r>
    </w:p>
    <w:p>
      <w:r>
        <w:rPr>
          <w:b/>
        </w:rPr>
        <w:t>E. 8.3.3</w:t>
      </w:r>
    </w:p>
    <w:p>
      <w:r>
        <w:t>Der Beschwerdeführer ist ein alleinstehender, gesunder junger Mann, welcher über eine gewisse Schulbildung verfügt und mehrere Jahre als (…) gearbeitet hat (vgl. Akte 17/16, F16 ff. und F44). Er stammt aus B._______ und seine Eltern sowie Geschwister halten sich nach wie vor dort auf, ebenso wie weitere Verwandte (vgl. Akte 17/16, F26 ff.). Somit verfügt er über ein familiäres Beziehungsnetz, welches ihn nötigenfalls bei der Wiedereingliederung unterstützen kann. Es kann davon ausgegangen werden, dass es ihm bei einer Rückkehr möglich sein wird, einer Arbeits- tätigkeit nachzugehen und seinen Lebensunterhalt zu erwirtschaften. Es gibt keine Anhaltspunkte dafür, dass er in der Autonomen Region Kurdistan in eine soziale, existenzielle oder medizinische Notlage geraten würde. Der Vollzug der Wegweisung erweist sich folglich als zumutbar.</w:t>
      </w:r>
    </w:p>
    <w:p>
      <w:r>
        <w:rPr>
          <w:b/>
        </w:rPr>
        <w:t>E. 8.4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erachten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t>D-7131/2025 Seite 12</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am 7. Oktober 2025 geleistete Kostenvorschuss in glei- cher Höhe ist zur Deckung der Verfahrenskosten zu verwenden.</w:t>
      </w:r>
    </w:p>
    <w:p>
      <w:r>
        <w:t>(Dispositiv nächste Seite)</w:t>
      </w:r>
    </w:p>
    <w:p>
      <w:r>
        <w:t>D-7131/2025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