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D-7131/2008 vom 18. November 2010</w:t>
      </w:r>
    </w:p>
    <w:p>
      <w:r>
        <w:t>Bundesverwaltungsgericht, 2010-11-18, DE</w:t>
      </w:r>
    </w:p>
    <w:p>
      <w:r>
        <w:rPr>
          <w:b/>
        </w:rPr>
        <w:t xml:space="preserve">Quelle: </w:t>
      </w:r>
      <w:r>
        <w:t>https://mcp.opencaselaw.ch/entscheid/bvger_D-7131_2008</w:t>
      </w:r>
    </w:p>
    <w:p>
      <w:r>
        <w:t>FR: TAF D-7131/2008 du 18 novembre 2010</w:t>
      </w:r>
    </w:p>
    <w:p>
      <w:r>
        <w:t>IT: TAF D-7131/2008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w:t>
      </w:r>
    </w:p>
    <w:p>
      <w:r>
        <w:rPr>
          <w:b/>
        </w:rPr>
        <w:t>E. 1.6</w:t>
      </w:r>
    </w:p>
    <w:p>
      <w:r>
        <w:t>Gemäss Art. 111a Abs. 1 AsylG wurde vorliegend auf die Durchführung eines Schriftenwechsels verzichtet.</w:t>
      </w:r>
    </w:p>
    <w:p>
      <w:r>
        <w:rPr>
          <w:b/>
        </w:rPr>
        <w:t>E. 2</w:t>
      </w:r>
    </w:p>
    <w:p>
      <w:r>
        <w:t>Das BFM verneinte die Flüchtlingseigenschaft des Beschwerdeführers, lehnte sein Asylgesuch ab und wies ihn aus der Schweiz weg. Der Beschwerdeführer beantragte in seiner Beschwerde die Aufhebung der Verfügung betreffend den Wegweisungsvollzug (Ziffern 4 und 5 des Dispositivs). Die Verneinung der Flüchtlingseigenschaft, die Ablehnung des Asylgesuchs und die Wegweisung blieben vorliegend somit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i.V.m. Art. 83 AuG).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3.3</w:t>
      </w:r>
    </w:p>
    <w:p>
      <w:r>
        <w:t>Weil sich vorliegend der Vollzug der Wegweisung, wie im Folgenden aufzuzeigen ist, als unzumutbar erweist, ist auf eine Erörterung der beiden andern Voraussetzungen eines rechtmässigen Wegweisungsvollzugs zu verzichten.</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4.1.1</w:t>
      </w:r>
    </w:p>
    <w:p>
      <w:r>
        <w:t>In ihrer vorliegend zu berücksichtigenden Rechtsprechung hatte sich die ARK in EMARK 2003 Nr. 10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und ergänzte die ARK ihre Rechtsprechung aus dem Jahr 2003. Zusätzlich zu Kabul erachtete sie den Wegweisungsvollzug in jene Regionen Afghanistans als grundsätzlich zumutbar, in welchen seit 2004 keine signifikanten militärischen Aktionen stattgefunden haben oder die keiner dauernden Unsicherheit ausgesetzt sind. Der Wegweisungsvollzug ist demgemäss zusätzlich zu Kabul in weitere, abschliessend aufgezählte Provinzen (Parwan, Baghlan, Takhar, Badakhshan, Kunduz, Balkh, Sari Pul, Herat und die Gegend von Samangan, die nicht zum Hazarajat zu zählen ist) unter den in EMARK 2003 Nr. 10 aufgeführten strengen Bedingungen zumutbar. In den übrigen östlichen, südlichen und südöstlichen Provinzen besteht hingegen weiterhin eine allgemeine Gewaltsituation, weshalb der Wegweisungsvollzug dorthin nach wie vor als unzumutbar zu betrachten sei (vgl. EMARK 2006 Nr. 9 E. 7.5.3 und 7.8). Eine Rückkehr in die Provinz K._______ erachtete die ARK, unabhängig von individuellen Umständen wie beispielsweise gesundheitlichen Beschwerden oder einem fehlenden Beziehungsnetz, als existenzbedrohend und damit als unzumutbar. Das Bundesverwaltungsgericht sieht in Berücksichtigung der jüngsten Entwicklung in Afghanistan (vgl. hierzu etwa die Urteile des Bundesverwaltungsgerichts D-5154/2007 vom 19. Februar 2010, E-5519/2006 vom 25. November 2009, D-4664/2006 vom 17. Juli 2009 und D-4270/2006 vom 25. Juni 2009) keine Veranlassung, von dieser Lageeinschätzung in Bezug auf die erwähnten übrigen Provinzen abzuweichen.</w:t>
      </w:r>
    </w:p>
    <w:p>
      <w:r>
        <w:rPr>
          <w:b/>
        </w:rPr>
        <w:t>E. 4.1.2</w:t>
      </w:r>
    </w:p>
    <w:p>
      <w:r>
        <w:t>Vorab ist festzuhalten, dass die Vorinstanz zwar zu Recht darauf hinweist, dass die Prüfung der Zumutbarkeit des Wegweisungsvollzugs nur eingeschränkt möglich ist, wenn über die Herkunft eines Gesuchstellers keine Klarheit besteht. Vorliegend ist jedoch festzustellen, dass der Beschwerdeführer übereinstimmend angab, er stamme aus J._______ in der Provinz K._______. Er bezeichnete den Distrikt, in dem J._______ gelegen sei, mit U._______. Bei U._______ handelt es sich tatsächlich um einen Distrikt in der Provinz K._______. Er sagte zudem zutreffend aus, K._______ sei die ehemalige Provinz Q._______. Überdies konnte er allgemeine Angaben zu J._______ machen (Gebirgsortschaft mit ca. 1500 Häusern; viele Bäche; Quelle S._______, deren Wasser auch von den amerikanischen Truppen geschätzt werde; zwei Moscheen, die er namentlich bezeichnete). Auch wenn die eingereichte Geburtsurkunde, aus der sich das Geburtsjahr 1985 ergibt, kein Identitätspapier im Sinne von Art. 1a Bst. c der Asylverordnung 1 vom 11. August 1999 über Verfahrensfragen (AsylV 1, SR 142.311) darstellt, ist darauf hinzuweisen, dass in diesem Dokument ebenfalls J._______ als Geburtsort aufgeführt ist. Aus den Akten ergeben sich im Weiteren keine Hinweise darauf, dass der Beschwerdeführer über längere Zeit in einer der als sicher bezeichneten Provinzen Afghanistans lebte. Es ist deshalb davon auszugehen, dass der Herkunftsort des Beschwerdeführers in der Provinz K._______ liegt. Im Weiteren kann die Lageanalyse und Praxis der ARK in EMARK 2003 Nr. 10 und 2006 Nr. 9 insbesondere bezüglich der als unzumutbar bezeichneten Gebiete heute nach wie vor als gültig angesehen werden (vgl. hierzu auch die in E. 4.1.1 erwähnten Urteile des Bundesverwaltungsgerichts).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 An dieser Einschätzung vermag auch der Einwand der Vorinstanz nichts zu ändern, in Afghanistan könne nicht von einer konkreten Gefährdung der gesamten Bevölkerung oder einer Situation allgemeiner Gewalt gesprochen werden. Hierzu ist festzuhalten, dass das BFM in der angefochtenen Verfügung nicht offen legt, gestützt auf welche Quellen oder Experten es zu seiner Schlussfolgerung gelangte, der Wegweisungsvollzug sei vorliegend zumutbar. Demgegenüber stützte sich die ARK bei ihrer Beurteilung der Lage in Afghanistan auf zahlreiche, öffentlich zugängliche Quellen (vgl. EMARK 2006 Nr. 9 E. 7.3 S. 98).</w:t>
      </w:r>
    </w:p>
    <w:p>
      <w:r>
        <w:rPr>
          <w:b/>
        </w:rPr>
        <w:t>E. 4.1.3</w:t>
      </w:r>
    </w:p>
    <w:p>
      <w:r>
        <w:t>Es stellt sich die Frage, ob dem Beschwerdeführer allenfalls eine Aufenthaltsalternative in einem anderen Landesteil Afghanistans zur Verfügung steht. Die Bejahung einer zumutbaren innerstaatlichen Aufenthaltsalternative eines aus der Provinz K._______ stammenden Asylsuchenden in Kabul oder in einer anderen Provinz, in der die allgemeine Situation eine Rückkehr unter bestimmten Umständen als zumutbar erscheinen liesse (vgl. EMARK 2006 Nr. 9), setzt insbesondere die dortige Existenz eines tragfähigen Beziehungsnetzes sowie eine gesicherte Wohnsituation in dieser Region voraus. Bei der Beurteilung der individuellen Zumutbarkeitskriterien ist eine differenzierte Beurteilung angezeigt (vgl. EMARK 2003 Nr. 30 E. 7.b S. 193 f.). Der Beschwerdeführer ist jung und - soweit aktenkundig - bei guter Gesundheit. Er verfügt über eine gewisse Schulbildung und einige Berufserfahrung im Baugewerbe. Aufgrund der Aktenlage ist jedoch nicht davon auszugehen, dass er in Kabul oder in einer der in EMARK 2006 Nr. 9 abschliessend aufgelisteten Provinzen über eine gesicherte Wohnsituation und ein tragfähiges Beziehungsnetz verfügt. Es sind keinerlei Bezugspunkte des Beschwerdeführers zum Grossraum Kabul oder zu einer der genannten Provinzen ersichtlich. Aufgrund der Aktenlage kann nicht ernsthaft davon ausgegangen werden, dass mutmasslich irgendwo im Land lebende weitere Verwandte dem Beschwerdeführer eine gesicherte Existenzgrundlage bieten könnten. Mithin fehlen die entscheidenden Zumutbarkeitsfaktoren für die Annahme, der Beschwerdeführer könne sich im Grossraum Kabul oder einer der anderen genannten Provinzen eine Existenzgrundlage aufbauen.</w:t>
      </w:r>
    </w:p>
    <w:p>
      <w:r>
        <w:rPr>
          <w:b/>
        </w:rPr>
        <w:t>E. 4.2</w:t>
      </w:r>
    </w:p>
    <w:p>
      <w:r>
        <w:t>Angesichts der gesamten Umstände ist der Vollzug der Wegweisung - der bisherigen Praxis entsprechend - als unzumutbar zu bezeichnen. Die Voraussetzungen für die Gewährung der vorläufigen Aufnahme sind demnach erfüllt. Einer vorläufigen Aufnahme stehen im Übrigen auch keine einschränkenden gesetzlichen Tatbestände (Art. 83 Abs. 7 AuG) entgegen.</w:t>
      </w:r>
    </w:p>
    <w:p>
      <w:r>
        <w:rPr>
          <w:b/>
        </w:rPr>
        <w:t>E. 5</w:t>
      </w:r>
    </w:p>
    <w:p>
      <w:r>
        <w:t>Die Beschwerde ist nach dem Gesagten gutzuheissen. Die Ziffern 4 und 5 des Dispositivs der angefochtenen Verfügung des BFM vom 23. Oktober 2008 sind aufzuheben und die Vorinstanz ist anzuweisen, den Beschwerdeführer vorläufig aufzunehmen.</w:t>
      </w:r>
    </w:p>
    <w:p>
      <w:r>
        <w:rPr>
          <w:b/>
        </w:rPr>
        <w:t>E. 6.1</w:t>
      </w:r>
    </w:p>
    <w:p>
      <w:r>
        <w:t>Bei diesem Ausgang des Verfahrens sind keine Kosten zu erheben (Art. 63 Abs. 1 VwVG). Das in der Beschwerdeeingabe gestellte Gesuch um Gewährung der unentgeltlichen Rechtspflege ist daher gegenstandslos.</w:t>
      </w:r>
    </w:p>
    <w:p>
      <w:r>
        <w:rPr>
          <w:b/>
        </w:rPr>
        <w:t>E. 6.2</w:t>
      </w:r>
    </w:p>
    <w:p>
      <w:r>
        <w:t>Da dem Beschwerdeführer aus der selbständigen Beschwerdeführung keine verhältnismässig hohen Kosten entstanden sind, ist keine Parteientschädigung zuzusprechen (vgl. Art. 64 Abs. 1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