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D-7129/2010 vom 11. Juni 2012</w:t>
      </w:r>
    </w:p>
    <w:p>
      <w:r>
        <w:t>Bundesverwaltungsgericht, 2012-06-11, DE</w:t>
      </w:r>
    </w:p>
    <w:p>
      <w:r>
        <w:rPr>
          <w:b/>
        </w:rPr>
        <w:t xml:space="preserve">Quelle: </w:t>
      </w:r>
      <w:r>
        <w:t>https://mcp.opencaselaw.ch/entscheid/bvger_D-7129_2010</w:t>
      </w:r>
    </w:p>
    <w:p>
      <w:r>
        <w:t>FR: TAF D-7129/2010 du 11 juin 2012</w:t>
      </w:r>
    </w:p>
    <w:p>
      <w:r>
        <w:t>IT: TAF D-7129/2010 del 11 giugno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beantragen in ihrer Beschwerdeschrift ausdrücklich einzig die Aufhebung der Punkte (Dispositiv-Ziffern) 4 und 5 der angefochtenen Verfügung. Die Verneinung der Flücht­lings­eigen­schaft, die Ablehnung des Asylgesuchs sowie die Wegweisung (vgl. Ziffern 1-3 des Dispositivs der Verfügung vom 2. September 2010) sind somit als unangefochten zu betrachten und in Rechtskraft erwachsen. Gegenstand des vorliegenden Beschwerde­verfahrens bildet ent­spre­chend dem Rechtsbegehren lediglich die Prü­fung, ob die Vorinstanz den Wegweisungsvollzug zu Recht als zumutbar im Sinne von Art. 83 Abs. 4 des Bundesgesetzes vom 16. Dezember 2005 über die Ausländerinnen und Ausländer (AuG, SR 142.20) erachtet hat.</w:t>
      </w:r>
    </w:p>
    <w:p>
      <w:r>
        <w:rPr>
          <w:b/>
        </w:rPr>
        <w:t>E. 4.1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2009/51 E. 5.5, BVGE 2009/41 E. 7.1, BVGE 2009/2 E. 9.2.1).</w:t>
      </w:r>
    </w:p>
    <w:p>
      <w:r>
        <w:rPr>
          <w:b/>
        </w:rPr>
        <w:t>E. 4.2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(vgl. BVGE 2009/28 E. 9.3.2 und BVGE 2009/51 E. 5.6, mit weiteren Hinweisen).</w:t>
      </w:r>
    </w:p>
    <w:p>
      <w:r>
        <w:rPr>
          <w:b/>
        </w:rPr>
        <w:t>E. 5</w:t>
      </w:r>
    </w:p>
    <w:p>
      <w:r>
        <w:t>Die Beschwerdeführenden bringen auf Beschwerdeebene einerseits vor, die Beschwerdeführerin benötige aufgrund ihrer (...)erkrankung regelmässige Kontrolle und die von ihr benötigten Medikamente seien in Rumänien schwierig zu erhalten und zu teuer. Anderseits lassen sie einwenden, die Tochter E._______ sei schwer behindert und brauche eine spezielle Behandlung. Sie zeige einen starken (...) im Rahmen einer starken geistigen Behinderung und zusätzlich sei ein (...) diagnostiziert worden. Wenn die Vorinstanz ausführe, es gebe nach den Aussagen des Beschwerdeführers eine Spezialschule zirka 40 bis 50 km vom Herkunftsort der Beschwerdeführenden entfernt, übersehe sie, dass diese Entfernung für rumänische Verhältnisse sehr weit sei. Die Familie könne diesen Weg nicht jeden Tag bewältigen. Als Roma-Mädchen habe E._______ sodann kaum eine Chance für einen Schulbesuch in einer Sonderschule. Somit stelle nicht nur der lange Weg ein unüberbrückbares Hindernis dar, die Beschwerdeführenden hätten auch keine finanziellen Mittel, um eine Spezialschule für E._______ zu bezahlen.</w:t>
      </w:r>
    </w:p>
    <w:p>
      <w:r>
        <w:rPr>
          <w:b/>
        </w:rPr>
        <w:t>E. 5.1</w:t>
      </w:r>
    </w:p>
    <w:p>
      <w:r>
        <w:t>Die Beschwerdeführerin reichte - auf entsprechende Aufforderung des Bundesamtes - verschiedene ärztliche Zeugnisse zu den Akten. Der neuste Arztbericht datiert vom 12. Juli 2010 und wurde vom Universitätsspital Q._______, Klinik für Nuklearmedizin, (...)-Sprechstunde, ausgestellt (vgl. Akten BFM B 22/4). Als Diagnose wird zur Hauptsache ein (...) aufgeführt, welchem durch eine totale (...) (Entfernung der gesamten [...]) im Oktober 2007 sowie anschliessend zweimaliger Radio-Jodtherapie (im November 2007 und März 2008) begegnet wurde. Aktuell stehe die Beschwerdeführerin unter (...)-Supressions- beziehungsweise -Substitutionstherapie. Zudem wurde eine chronisch aktive Hepatitis B diagnostiziert. Des Weiteren wird ausgeführt, der Patientin gehe es bezüglich des Tumorleidens gut. Klinisch, laborchemisch sowie sonographisch bestünden keine Hinweise auf ein Tumorrezidiv oder cervikale Lymphknotenmetastasen. Unter (...)-Supressions-/Substitutionstherapie bestehe ein wunschgemäss supprimiertes basales (...) ([...] Hormon). Der Tumormarker (...) sei stabil und weitere Massnahmen seien aktuell nicht indiziert. Als Medikation wird (...) aufgeführt.</w:t>
      </w:r>
    </w:p>
    <w:p>
      <w:r>
        <w:rPr>
          <w:b/>
        </w:rPr>
        <w:t>E. 5.1.1</w:t>
      </w:r>
    </w:p>
    <w:p>
      <w:r>
        <w:t>Angesichts der vorstehend wiedergegebenen Ausführungen kann davon ausgegangen werden, dass der Gesundheitszustand der Beschwerdeführerin fachmännisch und mit der nötigen Sorgfalt abgeklärt worden ist, und sie von der professionellen und qualitativ hochstehenden medizinischen Betreuung in der Schweiz profitieren konnte. Zu der im Rahmen der Tumornachsorge angezeigten Nachkontrolle legte das BFM in der angefochtenen Verfügung dar, diese könne beispielsweise im Spital in L._______, wo eine Onkologie-Abteilung vorhanden sei, durchgeführt werden. Diese Darstellung bleibt auf Beschwerdeebene unwider­spro­chen. Der Gesundheitszustand der Beschwerdeführerin an sich gibt somit aufgrund der Aktenlage keinen Anlass, den Weg­wei­sungs­vollzug als unzumutbar zu erachten.</w:t>
      </w:r>
    </w:p>
    <w:p>
      <w:r>
        <w:rPr>
          <w:b/>
        </w:rPr>
        <w:t>E. 5.1.2</w:t>
      </w:r>
    </w:p>
    <w:p>
      <w:r>
        <w:t>Zu beachten ist im Weiteren, dass die Beschwerdeführerin - zufolge Entfernung der (...) - permanent Medikamente benötigt. Diesbezüglich führt die Vorinstanz aus, (...) mit dem Wirkstoff (...) sei in Rumänien beschaffbar. Dem wird in der Beschwerdeschrift entgegengehalten, die Medikamente seien für die Beschwerdeführerin schwierig zu erhalten und zu teuer. Gemäss gesicherten Kenntnissen des Bundesverwaltungsgerichts gibt es grundsätzlich eine staatlich festgelegte Mindestversorgung mit medizinischen Grundleistungen, welche in der Regel gratis sind. Die medizinische (Mindest-) Versorgung in Rumänien obliegt den (Herkunfts-) Bezirken. Zwar können dabei regionale Unterschiede und mögliche Ungleichheiten zwischen den verschiedenen Volksgruppen nicht ausgeschlossen werden. Der Beschwerdeführerin steht es indessen offen, beim BFM (erneut) einen Antrag auf medizinische Rückkehrhilfe zu stellen, welche nicht nur - wovon die Beschwerdeführerin bereits anlässlich ihrer letzten Rückkehr Gebrauch machte (vgl. B 10/12 S. 7) - die Versorgung mit Medikamenten für die ersten Monate nach der Rückkehr beinhaltet, sondern welche auch Abklärungen betreffend die Verfügbarkeit und die entsprechenden Besorgungsmöglichkeiten für die notwendigen Medikamente umfasst. Das Bundesverwaltungsgericht geht deshalb mit der Vorinstanz davon aus, dass sich die Beschwerdeführerin auch nach ihrer Rückkehr mit den erforderlichen Medikamenten wird versorgen können. Der Vollständigkeit halber ist schliesslich darauf hinzuweisen, dass der Wegweisungsvollzug auch zumutbar ist, wenn die medizinische Behandlung nicht lebenslang sichergestellt ist (vgl. BVGE 2009/2 E. 9.3.4 S. 23, Entscheide und Mitteilungen der [vormaligen] Schweizerischen Asylrekurskommission [EMARK] 2003 Nr. 24 E. 5e). Als Zwischenergebnis ist somit festzuhalten, dass das Bundesamt in der gesundheitlichen Situation der Beschwerdeführerin zu Recht kein Wegweisungsvollzugshindernis gesehen hat.</w:t>
      </w:r>
    </w:p>
    <w:p>
      <w:r>
        <w:rPr>
          <w:b/>
        </w:rPr>
        <w:t>E. 5.2</w:t>
      </w:r>
    </w:p>
    <w:p>
      <w:r>
        <w:t>Sodann ist im Folgenden zu prüfen, ob die Behinderung der Tochter E._______ (geb. [...]) den Wegweisungsvollzug als unzumutbar erscheinen lässt. Im Rahmen des vorinstanzlichen Verfahrens reichten die Beschwerdeführenden verschiedene Dokumente zur Behinderung ihrer Tochter E._______ ein, welche anlässlich der Anhörung des Beschwerdeführers teilweise übersetzt wurden (vgl. B 11/9 S. 3). Darin wird einerseits das Vorliegen einer Behinderung in schwerem Grad und andererseits die Notwendigkeit einer individuellen und spezialisierten Betreuung (einschliesslich Medikation) bestätigt. Gemäss Schreiben der Heilpädagogischen Schule M._______ weist E._______ einen starken (...) im Rahmen einer starken geistigen Behinderung auf und zusätzlich wurde ein (...) diagnostiziert.</w:t>
      </w:r>
    </w:p>
    <w:p>
      <w:r>
        <w:rPr>
          <w:b/>
        </w:rPr>
        <w:t>E. 5.2.1</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w:t>
      </w:r>
    </w:p>
    <w:p>
      <w:r>
        <w:rPr>
          <w:b/>
        </w:rPr>
        <w:t>E. 5.2.2</w:t>
      </w:r>
    </w:p>
    <w:p>
      <w:r>
        <w:t>Die von den Beschwerdeführenden aus dem Heimatland mit­genommenen und zuhanden der Vorinstanz eingereichten Dokumente betreffend die Tochter E._______ halten deren Gesundheitszustand und Behandlung fest. Zusammenfassend ergibt sich daraus, dass die Tochter E._______ in Rumänien medizinisch untersucht und behandelt wurde sowie sogar ein individueller Behandlungsplan vorgesehen war (vgl. B 11/9 S.3). Da gemäss vorinstanzlicher Erkenntnis 40 bis 50 km vom Herkunftsort der Beschwerdeführenden auch eine Spezialschule existiert, ist es ihnen zumutbar und möglich, ihr Wohndomizil in deren Nähe oder in die Nähe einer anderen existierenden Spezialschule, die unter Umständen von ausländischen NGO's unterstützt oder geführt werden, zu verlegen, weshalb der Einwand der Beschwerdeführenden, die Distanz stelle ein unüberbrückbares Hindernis dar, nicht zu hören ist. Die Beschwerdeführenden haben zudem die Möglichkeit, beim BFM einen Antrag auf medizinische Rückkehrhilfe zu stellen (Art. 93 Abs. 1 Bst. d AsylG, Art. 75 der Asylverordnung 2 vom 11. August 1999 [AsylV 2, SR 142.312]) und fürs Erste, sofern notwendig, einen Medikamentenstock aus der Schweiz mitzunehmen. Der Umstand, dass die Behandlungsmöglichkeiten im Herkunftsland eventuell nicht dem medizinischen Standard in der Schweiz entsprechen, macht den Vollzug der Wegweisung noch nicht unzumutbar; dies wäre einzig gemäss Praxis dann der Fall, wenn die ungenügende Möglichkeit der Weiterbehandlung eine drastische und lebensbedrohende Verschlechterung des Gesundheitszustandes nach sich ziehen würde (vgl. BVGE 2009/2 E. 9.3.2). In Berücksichtigung aller Faktoren ist festzuhalten, dass die gesundheitlichen Probleme der Tochter E._______ kein Wegweisungs­vollzugshindernis darstellen.</w:t>
      </w:r>
    </w:p>
    <w:p>
      <w:r>
        <w:rPr>
          <w:b/>
        </w:rPr>
        <w:t>E. 5.3</w:t>
      </w:r>
    </w:p>
    <w:p>
      <w:r>
        <w:t>Bei den übrigen Beschwerdeführenden werden keine nennenswerten gesundheitlichen Probleme geltend gemacht. Die Beschwerdeführenden - insbesondere die Eltern - haben die meiste Zeit in ihrem Heimatland verbracht und dort ihren Lebensunterhalt verdient. Es ist davon auszugehen, dass sie dort über ein soziales Netz von Verwandten, Freunden und Nachbarn verfügen, die sie fürs Erste unterstützen dürften. Auch wenn die Wiedereingliederung im Heimatland mit Schwierigkeiten verbunden sein wird, bestehen keine Hinweise, dass die Beschwerdeführenden bei eine Rückkehr in ihr Heimatland in eine existenzielle Notlage geraten. Abgesehen davon ist festzuhalten, dass blosse soziale und wirtschaftliche Schwierigkeiten, von denen die ansässige Bevölkerung im Allgemeinen betroffen ist, nicht genügen, um eine Gefährdung im Sinne von Art. 83 Abs. 4 AuG darzustellen (vgl. BVGE 2010/41 E. 8.3.6, BVGE 2008/34 E. 11.2.2, EMARK 2005 E. 10.1 S. 215). In Bezug auf das Kindeswohl ist festzuhalten, dass das Heimatland für den grössten Teil der Kinder nicht fremd sein dürfte, da sie schon dort gelebt haben. Zudem sind sie aufgrund ihres Alters durch den Familienkern, Muttersprache sowie Kultur und nicht massgebend durch soziale Bindungen ausserhalb der Familie geprägt. Die Kinder befinden sich zudem in einem anpassungsfähigen Alter, so dass vorliegend nicht von einer Entwurzelung die Rede sein kann, da sie sich noch nicht lange in der Schweiz aufhalten. Es ist folglich auch unter dem Aspekt des Kindeswohls den Kindern zuzumuten, mit ihren Eltern in ihr Heimatland zurückzukehren.</w:t>
      </w:r>
    </w:p>
    <w:p>
      <w:r>
        <w:rPr>
          <w:b/>
        </w:rPr>
        <w:t>E. 5.4</w:t>
      </w:r>
    </w:p>
    <w:p>
      <w:r>
        <w:t>Nach dem Gesagten erweist sich der Vollzug der Wegweisung als zumutbar. Allein der Wunsch der Beschwerdeführenden, in der Schweiz ein besseres Leben zu haben, vermag zu keinem anderen Schluss zu führen.</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den Beschwerdeführenden die Verfahrenskosten aufzuerlegen (Art. 63 Abs. 1 VwVG). In Gut­heissung des Gesuchs um unentgeltliche Rechtspflege im Sinne von Art. 65 Abs. 1 VwVG wird jedoch auf die Auferlegung der Verfahrenskosten verzichtet, zumal das Verfahren als nicht aussichtslos zu bezeichnen ist und von der prozessualen Bedürftigkeit der Beschwerdeführenden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