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D-7125/2023 vom 4. Januar 2024</w:t>
      </w:r>
    </w:p>
    <w:p>
      <w:r>
        <w:t>Bundesverwaltungsgericht, 2024-01-04, DE</w:t>
      </w:r>
    </w:p>
    <w:p>
      <w:r>
        <w:rPr>
          <w:b/>
        </w:rPr>
        <w:t xml:space="preserve">Quelle: </w:t>
      </w:r>
      <w:r>
        <w:t>https://mcp.opencaselaw.ch/entscheid/bvger_D-7125_2023</w:t>
      </w:r>
    </w:p>
    <w:p>
      <w:r>
        <w:t>FR: TAF D-7125/2023 du 4 janvier 2024</w:t>
      </w:r>
    </w:p>
    <w:p>
      <w:r>
        <w:t>IT: TAF D-7125/2023 del 4 gennaio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von der Vorinstanz verfügte Anpassung des Geburtsdatums im ZEMIS (Dispositivziffer 6) wird nicht explizit angefochten, weshalb - auch unter Berücksichtigung der diesbezüglich noch laufen-den Beschwerdefrist und der Beschwerdebegründung - davon auszugehen ist, die vorliegende Beschwerde richte sich ausschliesslich gegen den verfügten Nichteintretensentscheid. Dispositivziffer 6 ist folglich nicht Gegenstand dieses Verfahrens.</w:t>
      </w:r>
    </w:p>
    <w:p>
      <w:r>
        <w:rPr>
          <w:b/>
        </w:rPr>
        <w:t>E. 3</w:t>
      </w:r>
    </w:p>
    <w:p>
      <w:r>
        <w:t>Die Beschwerde erweist sich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w:t>
      </w:r>
    </w:p>
    <w:p>
      <w:r>
        <w:t>In der Beschwerde wird eventualiter beantragt, die angefochtene Verfügung sei aufzuheben, und die Sache sei zur Neubeurteilung an die Vor-instanz zurückzuweisen. Dieser Antrag wird indessen nicht näher begründet; insbesondere wird nicht dargelegt, dass respektive inwiefern die angefochtene Verfügung an formellen Mängeln leide. Das Rückweisungsbegehren ist daher als unbegründet zu erachten und abzuweisen. Das Verfahren erweist sich ohne weiteres als spruchreif.</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6.1</w:t>
      </w:r>
    </w:p>
    <w:p>
      <w:r>
        <w:t>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 Es ist demnach vorab zu prüfen, ob das SEM die dargelegte Minderjährigkeit des Beschwerdeführers zutreffend verneint hat.</w:t>
      </w:r>
    </w:p>
    <w:p>
      <w:r>
        <w:rPr>
          <w:b/>
        </w:rPr>
        <w:t>E. 6.2</w:t>
      </w:r>
    </w:p>
    <w:p>
      <w:r>
        <w:t>Eine geltend gemachte Minderjährigkeit ist von der asylsuchenden Person zu beweisen, soweit ihr ein Beweis möglich ist, und andernfalls wenigstens glaubhaft zu machen, da sie die Beweislast trägt, auch wenn das SEM die entscheidrelevanten Sachverhaltsmomente von Amtes wegen festzustellen hat (vgl. BVGE 2018 VI/3 E. 4.2.3 m.w.H.; Urteil E-319/2023 vom 24. Januar 2023 E. 5.2.2).</w:t>
      </w:r>
    </w:p>
    <w:p>
      <w:r>
        <w:rPr>
          <w:b/>
        </w:rPr>
        <w:t>E. 6.3</w:t>
      </w:r>
    </w:p>
    <w:p>
      <w:r>
        <w:t>Das Gericht gelangt nach Durchsicht der Akten zum Schluss, dass die Ausführungen des SEM zu bestätigen sind, weshalb zur Vermeidung von Wiederholungen auf die zutreffenden Erwägungen verwiesen werden kann (...). Die Vorinstanz hat die Minderjährigkeit des Beschwerdeführers mit überzeugender Begründung verneint. Insbesondere das durchgeführte Altersgutachten ist ein starkes Indiz für die Volljährigkeit des Beschwerdeführers (vgl. BVGE 2018 VI/3). Hingegen wurde die vom Beschwerdeführer zum Beleg seines Alters eingereichte Tazkera nicht im Original eingereicht, weshalb ihr Beweiswert von vorneherein gering ist. Überdies enthalten Tazkeras keine Sicherheitsmerkmale und können daher einfach gefälscht werden. Und selbst bei Annahme der Echtheit bestünde nach der Rechtsprechung des Bundesverwaltungsgerichts die Möglichkeit, dass die darin enthaltenen zeitlichen Angaben über das Geburtsdatum nicht dem wirklichen Alter entsprechen (vgl. BVGE 2019 I/6 E. 6.2, bestätigt u.a. im Urteil des BVGer D-60/2020 vom 8. Februar 2021 E. 4.3.2). Weiter ist auch das Aussageverhalten des Beschwerdeführers nicht geeignet, die Resultate aus dem Altersgutachten umzustossen. Wie die Vorinstanz zu Recht aufzeigte, sind die Angaben des Beschwerdeführers, woher er sein Geburtsdatum kenne, vage ausgefallen und sind nicht ausreichend detailliert, um sie überprüfbar und glaubhaft zu machen (...). Schliesslich haben die kroatischen Behörden das Übernahmeersuchen des SEM akzeptiert und somit auch die Einschätzung des SEM zur Volljährigkeit des Beschwerdeführers.</w:t>
      </w:r>
    </w:p>
    <w:p>
      <w:r>
        <w:rPr>
          <w:b/>
        </w:rPr>
        <w:t>E. 6.4</w:t>
      </w:r>
    </w:p>
    <w:p>
      <w:r>
        <w:t>Insgesamt ist es dem Beschwerdeführer nicht gelungen, die von ihm geltend gemachte Minderjährigkeit glaubhaft zu machen. Das SEM ist folglich mit einem ordnungsgemässen Wiederaufnahmeersuchen an die kroatischen Behörden gelangt.</w:t>
      </w:r>
    </w:p>
    <w:p>
      <w:r>
        <w:rPr>
          <w:b/>
        </w:rPr>
        <w:t>E. 7.1</w:t>
      </w:r>
    </w:p>
    <w:p>
      <w:r>
        <w:t>Nachdem der Beschwerdeführer bereits am (...) in Kroatien ein Asylgesuch gestellt hatte, handelt es sich um ein «take back»-Verfahren gemäss Art. 18 Abs. 1 Bst. b Dublin-III-VO. Die kroatischen Behörden stimmten innert der in Art. 25 Abs. 1 Dublin-III-VO festgelegten Frist dem Übernahmeersuchen der Vorinstanz gestützt auf Art. 20 Abs. 5 Dublin-III-VO zu, womit die Zuständigkeit Kroatiens grundsätzlich gegeben ist.</w:t>
      </w:r>
    </w:p>
    <w:p>
      <w:r>
        <w:rPr>
          <w:b/>
        </w:rPr>
        <w:t>E. 7.2</w:t>
      </w:r>
    </w:p>
    <w:p>
      <w:r>
        <w:t>Der Vollständigkeit halber ist festzustellen, dass der in der Schweiz wohnhafte Bruder nicht als Familienangehöriger im Sinne von Art. 2 Bst. g Dublin-III-VO gilt. Die Zuständigkeitskriterien zum Schutze der Familieneinheit (Art. 9 ff. Dublin-III-VO) sind deshalb hier nicht einschlägig (vgl. statt vieler: Urteil des BVGer F-2715/2021 vom 11. März 2022 E. 10.1). Ohnehin hat im Rahmen eines Wiederaufnahmeverfahrens grundsätzlich keine neuerliche Zuständigkeitsprüfung stattzufinden (vgl. BVGE 2019 VI/7 E. 6.3 ff.; 2017 VI/5 E. 6.2 und 8.2.1 m.w.H.).</w:t>
      </w:r>
    </w:p>
    <w:p>
      <w:r>
        <w:rPr>
          <w:b/>
        </w:rPr>
        <w:t>E. 7.3</w:t>
      </w:r>
    </w:p>
    <w:p>
      <w:r>
        <w:t>Der Einwand des Beschwerdeführers, Kroatien sei nicht sein Zielland gewesen und er sei dort zur Abgabe seiner Fingerabdrücke gezwungen worden, vermag an der Zuständigkeit Kroatiens für die Durchführung des Asyl- und Wegweisungsverfahrens nichts zu ändern, zumal diese bereits durch die von ihm nicht bestrittene Einreise in das Hoheitsgebiet des Dublin-Staates begründet wurde (Art. 18 Abs. 1 Bst. a Dublin-III-VO). Zudem gilt es darauf hinzuweisen, dass sich die Abnahme der Fingerabdrücke von illegal einreisenden ausländischen Personen und Asylsuchenden auf Art. 14 Abs. 1 der Verordnung (EU)Nr. 603/2013 des Europäischen Parlaments und des Rates vom 26. Juni 2013 (Eurodac-Verordnung) stützt. Es steht dem Beschwerdeführer damit nicht frei zu wählen, ob und wann seine Fingerabdrücke abgenommen und an die "Eurodac"-Datenbank übermittelt werden. Das Vorgehen der kroatischen Behörden ist insofern nicht zu beanstanden. Im Übrigen räumt die Dublin-III-VO kein Recht ein, den Asylantrag prüfenden Staat selber auswählen zu können (vgl. auch BVGE 2010/45 E. 8.3).</w:t>
      </w:r>
    </w:p>
    <w:p>
      <w:r>
        <w:rPr>
          <w:b/>
        </w:rPr>
        <w:t>E. 8.1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8.2</w:t>
      </w:r>
    </w:p>
    <w:p>
      <w:r>
        <w:t>Gemäss Praxis des Bundesverwaltungsgerichts liegen zum heutigen Zeitpunkt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9.2</w:t>
      </w:r>
    </w:p>
    <w:p>
      <w:r>
        <w:t>Indem der Beschwerdeführer darlegt, er sei in Kroatien geschlagen und gedemütigt worden, fordert er implizit die Anwendung der Ermessensklausel.</w:t>
      </w:r>
    </w:p>
    <w:p>
      <w:r>
        <w:rPr>
          <w:b/>
        </w:rPr>
        <w:t>E. 9.3</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Kroatien würde zu einer Verletzung von Art. 3 EMRK führen oder Kroatien würde ihm dauerhaft die ihm gemäss Aufnahmerichtlinie zustehenden minimalen Lebensbedingungen vorenthalten.</w:t>
      </w:r>
    </w:p>
    <w:p>
      <w:r>
        <w:rPr>
          <w:b/>
        </w:rPr>
        <w:t>E. 9.4</w:t>
      </w:r>
    </w:p>
    <w:p>
      <w:r>
        <w:t>Bei Wahrunterstellen der vom Beschwerdeführer geschilderten Erlebnisse in Kroatien ist festzuhalten, dass er diese im Rahmen der illegalen Einreise erlebt hat. Im Falle einer Überstellung im Rahmen eines Dublin-Verfahrens befindet er sich in einer grundsätzlich anderen Situation, weshalb aus den geschilderten Erlebnissen keine Schlüsse auf die Bedingungen gezogen werden können, denen er bei einer Rückführung nach Kroatien in den dortigen Aufenthaltsstrukturen ausgesetzt wäre (vgl. Urteil des BVGer D-6041/2022 vom 16. Mai 2023 E. 8.1). Da sein Asylverfahren dort hängig ist und die kroatischen Behörden seiner Übernahme ausdrücklich zugestimmt haben, wird er nicht mehr als Neuankömmling behandelt, sondern in die Asylstrukturen integriert, wo er alle ihm zustehenden Rechte wahrnehmen kann. Gegebenenfalls kann er sich an die zuständigen kroatischen Behörden wenden und die ihm zustehenden Aufnahmebedingungen auf dem Rechtsweg einfordern (Art. 26 Aufnahmerichtlinie). Es steht ihm ebenfalls offen, sich an die vor Ort tätigen karitativen Organisationen zu wenden.</w:t>
      </w:r>
    </w:p>
    <w:p>
      <w:r>
        <w:rPr>
          <w:b/>
        </w:rPr>
        <w:t>E. 9.5</w:t>
      </w:r>
    </w:p>
    <w:p>
      <w:r>
        <w:t>Soweit der Beschwerdeführer geltend macht, er wolle in der Schweiz bei seinem Bruder leben, ist festzustellen, dass ein besonderes, über die normale affektive Bindung hinausgehendes Abhängigkeitsverhältnis nach Art. 16 Abs. 1 Dublin-III-VO nicht ersichtlich ist und vom Beschwerdeführer auch nicht behauptet wird. Weiter besteht auch im Lichte von Art. 8 EMRK keine völkerrechtliche Verpflichtung der Schweiz zu einem Selbsteintritt nach Art. 17 Abs. 1 Dublin-III-VO.</w:t>
      </w:r>
    </w:p>
    <w:p>
      <w:r>
        <w:rPr>
          <w:b/>
        </w:rPr>
        <w:t>E. 9.6</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9.7</w:t>
      </w:r>
    </w:p>
    <w:p>
      <w:r>
        <w:t>Gemäss der geltenden Rechtsprechung zu Kroatien und mit Blick auf den vorliegenden Sachverhalt ist das SEM nicht gehalten, individuelle Zusicherungen von Kroatien einzuholen. Das diesbezügliche Eventualbegehren ist abzuweisen.</w:t>
      </w:r>
    </w:p>
    <w:p>
      <w:r>
        <w:rPr>
          <w:b/>
        </w:rPr>
        <w:t>E. 9.8</w:t>
      </w:r>
    </w:p>
    <w:p>
      <w:r>
        <w:t>Nach dem Gesagten liegen weder völkerrechtliche Vollzugshindernisse vor, welche die Schweiz zum Selbsteintritt verpflichten würden, noch Rechtsfehler bei der Ermessenbetätigung.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10</w:t>
      </w:r>
    </w:p>
    <w:p>
      <w:r>
        <w:t>Die Vorinstanz ist demnach zu Recht in Anwendung von Art. 31a Abs. 1 Bst. b AsylG auf das Asylgesuch des Beschwerdeführers nicht eingetreten und hat die Überstellung des Beschwerdeführers nach Kroatien verfügt. Die Beschwerde ist abzuweisen.</w:t>
      </w:r>
    </w:p>
    <w:p>
      <w:r>
        <w:rPr>
          <w:b/>
        </w:rPr>
        <w:t>E. 11.1</w:t>
      </w:r>
    </w:p>
    <w:p>
      <w:r>
        <w:t>Der am 21. Dezember 2023 verfügte Vollzugsstopp fällt mit dem vorliegenden Urteil dahin.</w:t>
      </w:r>
    </w:p>
    <w:p>
      <w:r>
        <w:rPr>
          <w:b/>
        </w:rPr>
        <w:t>E. 11.2</w:t>
      </w:r>
    </w:p>
    <w:p>
      <w:r>
        <w:t>Mit dem Entscheid in der Hauptsache sind die Gesuche um Erteilung der aufschiebenden Wirkung und um Verzicht auf die Erhebung eines Kostenvorschusses gegenstandlos geworden.</w:t>
      </w:r>
    </w:p>
    <w:p>
      <w:r>
        <w:rPr>
          <w:b/>
        </w:rPr>
        <w:t>E. 11.3</w:t>
      </w:r>
    </w:p>
    <w:p>
      <w:r>
        <w:t>Die Gesuche um Gewährung der unentgeltlichen Prozessführung (Art. 65 Abs. 1 VwVG) und um amtliche Verbeiständung (Art. 102m Abs. 1 Bst. a AsylG) sind abzuweisen, da sich die Beschwerdebegehren entsprechend den vorstehenden Erwägungen von vornherein als aussichtslos erwiesen haben.</w:t>
      </w:r>
    </w:p>
    <w:p>
      <w:r>
        <w:rPr>
          <w:b/>
        </w:rPr>
        <w:t>E. 11.4</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