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D-7121/2009 vom 20. November 2009</w:t>
      </w:r>
    </w:p>
    <w:p>
      <w:r>
        <w:t>Bundesverwaltungsgericht, 2009-11-20, DE</w:t>
      </w:r>
    </w:p>
    <w:p>
      <w:r>
        <w:rPr>
          <w:b/>
        </w:rPr>
        <w:t xml:space="preserve">Quelle: </w:t>
      </w:r>
      <w:r>
        <w:t>https://mcp.opencaselaw.ch/entscheid/bvger_D-7121_2009</w:t>
      </w:r>
    </w:p>
    <w:p>
      <w:r>
        <w:t>FR: TAF D-7121/2009 du 20 novembre 2009</w:t>
      </w:r>
    </w:p>
    <w:p>
      <w:r>
        <w:t>IT: TAF D-7121/2009 del 20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Art. 50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Prüfung der Akten durch das Gericht ist - in Übereinstimmung mit der Vorinstanz - festzustellen, dass die Vorbringen des Beschwerdeführers den Anforderungen an die Glaubhaftigkeit gemäss Art. 7 AsylG nicht standzuhalten vermögen beziehungsweise nicht asylrelevant sind, weshalb diesbezüglich vorab auf die ausführlichen und zutreffenden vorinstanzlichen Erwägungen zu verweisen ist (vgl. Bst. E. vorstehend). Durch seine krass widersprüchlichen Vorbringen im vorinstanzlichen Verfahren ist der Beschwerdeführer unglaubwürdig, weshalb ihm die geltend gemachten Asylgründe nicht geglaubt werden können. Auch das zusätzliche Vorbringen des Beschwerdeführers in der Beschwerde, wonach es aufgrund der Ereignisse nach seiner Flucht bereits drei Mal zu verbalen Streitigkeiten und Handgemengen zwischen den Familienmitgliedern beider Seiten gekommen sei, vermag den geltend gemachten Sachverhalt nicht glaubhafter zu machen, zumal es sich dabei einerseits lediglich um eine unbelegte Behauptung handelt und andererseits seiner anlässlich der Anhörung geltend gemachten Aussage widerspricht, wonach er nur wegen des nicht geleisteten Militärdienstes bei einer Rückkehr etwas zu befürchten habe. Aufgrund des soeben ausgeführten ist davon auszugehen, es handle sich bei der Behauptung des Beschwerdeführers, wonach er aufgrund einer sexuellen Beziehung zu seiner Cousine von deren Familie mit dem Tod bedroht werde, um ein Sachverhaltskonstrukt, weswegen auch nicht geglaubt werden kann, dass er bei einer Rückkehr nach Syrien befürchten muss, ein Opfer von Blutrache zu werden. Daher kann auch darauf verzichtet werden zu prüfen, ob der syrische Staat tatsächlich nicht in der Lage ist, Personen, die von Blutrache bedroht sind, zu schützen, wie das vom Beschwerdeführer in der Rechtsmittelschrift geltend gemacht wird. Der Beschwerdeführer hat in der Beschwerdeschrift den vorinstanzlichen Erwägungen, wonach einer allfälligen Bestrafung des Beschwerdeführers bei einer Rückkehr nach Syrien wegen des noch nicht geleisteten Militärdienstes keine Asylrelevanz zukomme, nichts entgegengehalten, weshalb sich dazu weitere Ausführungen erübrigen und lediglich auf die zutreffenden Ausführungen der Vorinstanz zu verweisen ist.</w:t>
      </w:r>
    </w:p>
    <w:p>
      <w:r>
        <w:rPr>
          <w:b/>
        </w:rPr>
        <w:t>E. 5.2</w:t>
      </w:r>
    </w:p>
    <w:p>
      <w:r>
        <w:t>Zusammenfassend ist festzustellen, dass es dem Beschwerdeführer nicht gelungen ist nachzuweisen oder zumindest glaubhaft zu machen, dass er in der Heimat ernsthafte Nachteile gemäss Art. 3 AsylG erlitten hat oder solche bei der Ausreise zu befürchten hatte oder im Falle einer Rückkehr nach Syrien befürchten müsste. Der Beschwerdeführer vermag mit seinen Beschwerdevorbringen zu keiner anderen Betrachtungsweise zu führen. Er erfüllt somit die Voraussetzungen zur Zuerkennung der Flüchtlingseigenschaft nicht, weshalb die Vorinstanz das Asylbegehren zu Recht und ohne weitere Abklärungen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Syrien ist demnach unter dem Aspekt von Art. 5 AsylG rechtmässig. Sodann ergeben sich weder aus den unglaubhaften Aussagen des Beschwerdeführers noch aus den Akten Anhaltspunkte dafür, dass er für den Fall einer Ausschaffung nach Syrien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 bis 127, mit weiteren Hinweisen). Dies ist ihm nach den vorstehenden Erwägungen nicht gelungen. Auch die allgemeine Menschenrechtssituation in Syrien lässt den Wegweisungsvollzug zum heutigen Zeitpunkt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In Syrien herrscht zurzeit keine Situation allgemeiner Gewalt, weshalb in konstanter Praxis von der generellen Zumutbarkeit des Wegweisungsvollzugs ausgegangen wird.</w:t>
      </w:r>
    </w:p>
    <w:p>
      <w:r>
        <w:rPr>
          <w:b/>
        </w:rPr>
        <w:t>E. 7.3.3</w:t>
      </w:r>
    </w:p>
    <w:p>
      <w:r>
        <w:t>Vorliegend sind den Akten auch keine Anhaltspunkte für individuelle Unzumutbarkeitsindizien zu entnehmen. Der Beschwerdeführer hat Syrien auf legalem Weg verlassen und hält sich erst seit knapp eineinhalb Jahren ausserhalb seines Heimatlandes auf, weshalb nicht anzunehmen ist, dass er bei einer Rückkehr mit erheblichen Schwierigkeiten konfrontiert werden könnte. Der - soweit den Akten zu entnehmen ist - gesunde Beschwerdeführer hat die prägenden Kinder- und Jugendjahre in Syrien verbracht, die Schule besucht und insbesondere gearbeitet. Gemäss seinen Angaben leben seine Eltern sowie seine acht Geschwister nach wie vor in seiner Heimat. Vor diesem Hintergrund ist davon auszugehen, dass der Beschwerdeführer in seinem Heimatland über ein soziales Beziehungsnetz verfügt, welches ihm eine Reintegration erleichtern kann. Blosse soziale und wirtschaftliche Schwierigkeiten, von denen die ansässige Bevölkerung im Allgemeinen betroffen ist, genügen nicht, um eine Gefahr im Sinne von Art. 83 Abs. 4 AuG darzustellen (vgl. die weiterhin zutreffende Praxis der ARK in EMARK 1996 Nr. 2 S. 12 f. und EMARK 2005 Nr. 24 E. 10.1, S. 215). Nach dem Gesagten ist der Vollzug der Wegweisung somit auch als zumutbar zu bezeichnen.</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10.1</w:t>
      </w:r>
    </w:p>
    <w:p>
      <w:r>
        <w:t>Mit dem vorliegenden Entscheid in der Hauptsache wird das Gesuch um Verzicht auf die Erhebung eines Kostenvorschusses gegenstandslos.</w:t>
      </w:r>
    </w:p>
    <w:p>
      <w:r>
        <w:rPr>
          <w:b/>
        </w:rPr>
        <w:t>E. 10.2</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