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D-7105/2016 vom 14. Dezember 2017</w:t>
      </w:r>
    </w:p>
    <w:p>
      <w:r>
        <w:t>Bundesverwaltungsgericht, 2017-12-14, DE</w:t>
      </w:r>
    </w:p>
    <w:p>
      <w:r>
        <w:rPr>
          <w:b/>
        </w:rPr>
        <w:t xml:space="preserve">Quelle: </w:t>
      </w:r>
      <w:r>
        <w:t>https://mcp.opencaselaw.ch/entscheid/bvger_D-7105_2016</w:t>
      </w:r>
    </w:p>
    <w:p>
      <w:r>
        <w:t>FR: TAF D-7105/2016 du 14 décembre 2017</w:t>
      </w:r>
    </w:p>
    <w:p>
      <w:r>
        <w:t>IT: TAF D-7105/2016 del 14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2013/11 E. 5.1, erster Absatz, m.w.H.).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wichtige Tatsachen unterdrückt oder bewusst falsch darstellt (Art. 7 Abs. 3 AsylG), im Laufe des Verfahrens Vorbringen auswechselt oder unbegründet nachschiebt, mangelndes Interesse am Verfahren zeigt oder die nötige Mitwirkung verweigert. Entscheidend ist, ob eine Gesamtwürdigung der Vorbringen ergibt, dass die Gründe, die für die Richtigkeit der Sachverhaltsdarstellung des Gesuchstellers sprechen, überwiegen oder nicht (vgl. BVGE 2013/11 E. 5.1, zweiter Absatz, m.w.H.).</w:t>
      </w:r>
    </w:p>
    <w:p>
      <w:r>
        <w:rPr>
          <w:b/>
        </w:rPr>
        <w:t>E. 4.1</w:t>
      </w:r>
    </w:p>
    <w:p>
      <w:r>
        <w:t>Das SEM betonte in seinem Entscheid, dass die in der Anhörung genannte Begründung für den Streit mit J. - seine angebliche Teilnahme an Demonstrationen - als nachgeschoben gewertet werden müsse. Dies insbesondere deshalb, weil der Beschwerdeführer in der ersten Befragung explizit gesagt habe, dass der Mann von der Sicherheitsbehörde ohne Grund mit ihm gestritten habe. Seine Erklärung, er habe sich in der BzP kurz fassen müssen, vermöge nicht zu überzeugen. Weiter könne ihm sein geltend gemachtes politisches Engagement nicht geglaubt werden, weil seine Aussagen hinsichtlich seiner behaupteten Demonstrationsteilnahmen wenig substantiiert ausgefallen seien. So habe er weder den Zeitpunkt des Beginns seiner Aktivitäten noch deren Häufigkeit genauer bezeichnen können. Auch seine Aussagen hinsichtlich seiner Rolle und Motivation seien stets oberflächlich geblieben (vgl. a.a.O., S. 3 mit Verweisen auf act. A12, S. 6 und 12). Schliesslich erklärte das SEM, zwischen den vorgebrachten Ereignissen und der späteren Ausreise sei auch kein Kausalzusammenhang ersichtlich, sei der Beschwerdeführer doch erst mehr als ein Jahr nach dem letzten vorgebrachten Ereignis aus der Heimat ausgereist.</w:t>
      </w:r>
    </w:p>
    <w:p>
      <w:r>
        <w:rPr>
          <w:b/>
        </w:rPr>
        <w:t>E. 4.2</w:t>
      </w:r>
    </w:p>
    <w:p>
      <w:r>
        <w:t>Der Beschwerdeführer entgegnete auf Beschwerdeebene, dass das SEM in seinem Fall insbesondere den herabgesetzten Beweismassanforderungen beim Asylverfahren nicht genügend Rechnung getragen habe. So werde ihm vorgeworfen, dass er gewisse Geschehnisse und Präzisierungen erst anlässlich der Anhörung vorgebracht habe und diese deshalb, weil sogenannt nachgeschoben, unglaubhaft seien. So habe er beispielsweise an der BzP gesagt, dass er ohne einen Grund Streit mit einer Person (J.) gehabt habe. An der Anhörung habe er aber angefügt, dass er wegen seiner Demonstrationsteilnahmen bei dem D._______ schon zuvor in schlechtem Licht gestanden habe. Zum Vorwurf von nachgeschobenen und somit unglaubhaften Vorbringen führte er aus, es sei damals - wie aus dem BzP-Protokoll ersichtlich - aufgrund der angespannten Unterbringungssituation nur eine verkürzte Befragung durchgeführt worden. Er sei bei dieser Gelegenheit darauf aufmerksam gemacht worden, dass es sich um eine summarische Befragung handle und er sich kurz fassen solle. Dies habe er gemacht. Es sei jedoch sehr schwierig herauszufiltern, was denn aus Sicht der Behörden das Wichtigste sein könnte und was man mindestens erwähnen sollte. Seiner Ansicht nach habe er das Wichtigste anlässlich der BzP und der Anhörung übereinstimmend erwähnt. Der Beschwerdeführer rügte weiter, die Vorinstanz argumentiere zu Unrecht, dass der Kausalzusammenhang zwischen den einzelnen Teilereignissen unterbrochen sei, da ihm nach der Haftentlassung angeblich nichts mehr passiert sei. Dies sei jedoch nicht korrekt, sei er doch auf andere Weise diskriminiert worden. So habe er eine Stelle nicht erhalten, weil ihm die Sicherheitsbehörden ein notwendiges Bestätigungsschreiben vorenthalten hätten und darüber hinaus hätten die Behörden auch noch seinen Führerausweis eingezogen.</w:t>
      </w:r>
    </w:p>
    <w:p>
      <w:r>
        <w:rPr>
          <w:b/>
        </w:rPr>
        <w:t>E. 4.3</w:t>
      </w:r>
    </w:p>
    <w:p>
      <w:r>
        <w:t>Aufgrund der Aktenlage ist mit der Vorinstanz darin einig zu gehen, dass die Begründung für die Auseinandersetzung auf dem Markt nachgeschoben wirkt. So konnte der Beschwerdeführer nicht nachvollziehbar erklären, wieso J. im Sommer 2014 unvermittelt auf ihn los gegangen sein soll. Das Vorbringen, dies sei wegen seiner Teilnahmen an Demonstrationen geschehen, die in den Jahren 2011 und 2012 stattgefunden und an welchen fast alle jungen Männer teilgenommen hätten (vgl. dazu act. A14, F 96-103), erscheint als gesucht. Dies insbesondere, da der Beschwerdeführer anlässlich der BzP noch ausgesagt hatte, J. sei grundlos auf ihn losgegangen (act. A4 F 7.01). Mit Blick darauf ist das geltend gemachte Motiv für die Auseinandersetzung auf dem Markt als unglaubhaft zu erkennen. Aufgrund der Aktenlage ist indes weder in Abrede zu stellen, dass der Beschwerdeführer vor Jahren an Demonstrationen teilgenommen hat, noch auszuschliessen, dass er im Jahre 2014 aufgrund einer Schlägerei (oder auch aus einem anderen Grund) in ein Gerichtsverfahren verwickelt wurde. Hingegen ist kein nachvollziehbarer Zusammenhang zwischen den Demonstrationsteilnahmen von 2011/2012 und dem behaupteten Streit von 2014 erkennbar. Schliesslich verstrickte sich der Beschwerdeführer nicht nur zwischen der BzP und der Anhörung in Widersprüche, sondern auch noch innerhalb der Anhörung. So ist als nicht nachvollziehbar zu bezeichnen, dass er im Rahmen der Anhörung erzählte, sein Onkel habe für ihn eine Million irakische Dinar als Bürgschaft hinterlegen müssen, weil der Prozess so wichtig gewesen sei (vgl. act. A14 F 78 und 87), hatte er doch zu Beginn der Anhörung noch angegeben, er sei aufgrund einer Bürgschaft seines Onkels freigelassen worden, weil die Behörde nicht so sehr in dieser Sache hätte bohren wollen (vgl. a.a.O., F 39). Vom Beschwerdeführer wurde schliesslich geltend gemacht, es sei nicht korrekt, dass ihm nach seiner Haftentlassung nichts mehr passiert sei. In dieser Hinsicht führte er namentlich an, es sei ihm von den Behörden der Führerausweis entzogen worden. Dieses Beschwerdevorbringen kann jedoch von vornherein nicht überzeugen, da er anlässlich der Anhörung mit hinreichender Deutlichkeit aufgezeigt hatte, dass ihm die Benutzung des Autos seines Vaters nicht von den Behörden, sondern von seiner Familie verboten worden sei, nachdem diese herausgefunden habe, dass er Alkohol trinke. Das Ganze sei für ihn sehr ärgerlich gewesen (act. A14 F 168). Damit spricht nichts dafür, dass dem Beschwerdeführer die Fahrerlaubnis von den Behörden wegen des behaupteten Streits mit J. entzogen wurde.</w:t>
      </w:r>
    </w:p>
    <w:p>
      <w:r>
        <w:rPr>
          <w:b/>
        </w:rPr>
        <w:t>E. 4.4</w:t>
      </w:r>
    </w:p>
    <w:p>
      <w:r>
        <w:t>Nach dem Gesagten ist festzustellen, dass in den Vorbringen des Beschwerdeführers keine Verbindung der verschiedenen Teilereignisse erkennbar ist. Eine Gesamtbetrachtung der Vorbringen ergibt vielmehr, dass sich der Sachverhaltsvortrag des Beschwerdeführers in einer Aneinanderreihung von Einzelereignissen erschöpft, welche auch bei wohlwollender Betrachtung keine innere Verbindung im Sinne einer Kausalkette erkennen lassen. Eine asylrelevante Gefährdung wegen der blossen Teilnahme an (Massen-)Demonstrationen, welche Jahre vor der Ausreise stattgefunden haben, kann ausgeschlossen werden. Insofern Anlass zur Annahme besteht, der Beschwerdeführer sei möglicherweise einmal in eine Schlägerei und in diesem Zusammenhang unter Umständen auch in ein Gerichtsverfahren verwickelt worden ist, ist nichts glaubhaft gemacht, was ein asylrelevantes Motiv erkennen liesse, weder als Auslöser für den Streit noch für das behauptete Gerichtsverfahren. Dem Bericht über seine Mühe bei der Arbeitssuche ist ebenfalls nichts zu entnehmen, was asylrechtlich relevant sein könnte. Vor diesem Hintergrund ergibt sich, dass den vorgebrachten Ereignissen keine Asylrelevanz zukommt.</w:t>
      </w:r>
    </w:p>
    <w:p>
      <w:r>
        <w:rPr>
          <w:b/>
        </w:rPr>
        <w:t>E. 5</w:t>
      </w:r>
    </w:p>
    <w:p>
      <w:r>
        <w:t>Nach dem Gesagten ist es dem Beschwerdeführer nicht gelungen, eine asylrelevante Verfolgungslage zu beweisen oder zumindest glaubhaft zu machen. Bei dieser Sachlage hat das SEM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Wegweisungsvollzugshindernisse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das teilautonome Gebiet Kurdistan im Nordirak ist demnach unter dem Aspekt von Art. 5 AsylG rechtmässig. Sodann ergeben sich weder aus den Aussagen des Beschwerdeführers noch aus den Akten Anhaltspunkte dafür, dass er für den Fall einer Ausschaffung in das teilautonome Gebiet Kurdistan im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teilautonomen Gebiet Kurdistan im Nordirak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Betreffend das Gebiet des Nordiraks gelangte das Bundesverwaltungsgericht in BVGE 2008/4 zu unterschiedlichen Einschätzungen der verschiedenen Teilgebiete. In den damals drei nordirakischen Provinzen Dohuk, Erbil und Suleimaniya seien die regionalen Sicherheitsbehörden grundsätzlich in der Lage und willens, den Einwohnern Schutz vor Verfolgung zu gewähren (vgl. a.a.O. E. 6.7). Diese Lageeinschätzung wurde im Urteil E-3737/2015 vom 14. Dezember 2015 (als Referenzurteil publiziert) bestätigt. Das Bundesverwaltungsgericht gelangte in diesem Urteil zum Schluss, dass der Zumutbarkeitspraxis betreffend Nordirak gemäss BVGE 2008/5 weiterhin zu folgen sei. Es wies darauf hin, dass der anhaltende Konflikt in Syrien und der Vormarsch des IS eine Flüchtlingswelle ausgelöst hätten, wobei ein Grossteil der im Irak intern vertriebenen Personen (engl. internally displaced people [IDP]), aber auch zahlreiche Flüchtlinge aus Syrien in den kurdischen Provinzen Nordiraks Zuflucht gefunden hätten. Zum Schutze vor Infiltranten oder Sympathisanten des IS habe die KRG die Einreisebedingungen und die Sicherheitsvorkehrungen verschärft. Eigentliche militärische Auseinandersetzungen mit dem IS innerhalb der KRG seien nicht zu verzeichnen, so dass die Sicherheitslage in der KRG-Region grundsätzlich weiterhin als stabil bezeichnet werden könne und heute nach wie vor keine Situation allgemeiner Gewalt im Sinne von Art. 83 Abs. 4 AuG vorliege. Der Wegweisungsvollzug in die KRG-Region sei somit grundsätzlich zumutbar. Die Sicherheitssituation im Nordirak hat sich seit Publikation des erwähnten Urteils nicht wesentlich verschlechtert. In der überwiegenden Mehrheit der Berichte von Regierungs- und Nichtregierungsorganisationen sowie des UN-Sicherheitsrats wird eine insgesamt stabile Situation beschrieben (vgl. UK Home Office, Country of Origin Information Report vom September 2017, Iraq: Return/Internal relocation, insb. Ziffern 2.2 und 4.2; UK Home Office, Country of Origin Information Report vom März 2017, Iraq: Security and humanitarian situation, insb. 8.4.1). B._______ befindet sich nicht in der im Oktober 2017 umkämpften Gegend sondern an der Grenze zum Iran im Osten des teilautonomen Gebiets Kurdistan im Nordirak. Der Beschwerdeführer hat gemäss eigenen Angaben den grossen Teil seines Lebens in B._______ gelebt. Dort besuchte er die Primarschule, dort arbeitete er und dort wohne auch heute noch seine Familie. Somit verfügt der Beschwerdeführer noch heute über ein bestehendes Beziehungsnetz im Nordirak. Der Beschwerdeführer ist (...) Jahre alt und, soweit aktenkundig, in einer guten gesundheitlichen Verfassung. Folglich sind keine individuellen Hindernisse ersichtlich, die den Vollzug der Wegweisung als unzumutbar erscheinen lassen.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jedoch mit Zwischenverfügung vom 29. November 2016 die unentgeltliche Rechtspflege gewährt wurde, sind im vorliegenden Verfahren keine Kosten zu erheben. Mit der Zwischenverfügung vom 20. Dezember 2016 wurde auch das Gesuch um Gewährung der unentgeltlichen Rechtsverbeiständung gutgeheissen, weshalb dem amtlich bestellten Rechtsbeistand zulasten der Gerichtskasse ein Honorar für seine Bemühungen auszurichten ist. Dieser hat nach Einsetzung lediglich eine Replik von zwei Seiten und keine Kostennote eingereicht. Auf die Nachforderung einer Kostennote kann indes verzichtet werden, da der Aufwand für das vorliegende Beschwerdeverfahren zuverlässig abgeschätzt werden kann (Art. 14 Abs. 2 in fine des Reglements vom 21. Februar 2008 über die Kosten und Entschädigungen vor dem Bundesverwaltungsgericht [VGKE, SR 173.320.2]). In Anwendung der genannten Bestimmung, der massgeblichen Bemessungsfaktoren (vgl. Art. 8 ff. VGKE) ist dem Rechtsvertreter des Beschwerdeführers ein amtliches Honorar in der Höhe von Fr. 200.-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