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D-7103/2015 vom 20. Juni 2017</w:t>
      </w:r>
    </w:p>
    <w:p>
      <w:r>
        <w:t>Bundesverwaltungsgericht, 2017-06-20, DE</w:t>
      </w:r>
    </w:p>
    <w:p>
      <w:r>
        <w:rPr>
          <w:b/>
        </w:rPr>
        <w:t xml:space="preserve">Quelle: </w:t>
      </w:r>
      <w:r>
        <w:t>https://mcp.opencaselaw.ch/entscheid/bvger_D-7103_2015</w:t>
      </w:r>
    </w:p>
    <w:p>
      <w:r>
        <w:t>FR: TAF D-7103/2015 du 20 juin 2017</w:t>
      </w:r>
    </w:p>
    <w:p>
      <w:r>
        <w:t>IT: TAF D-7103/2015 del 20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Somit erübrigt sich eine vertiefte Auseinandersetzung mit den einzelnen Parteivorbringen. Die Beschwerde ist daher gutzuheissen, soweit die Aufhebung der vorinstanzlichen Verfügung beantragt wurde.</w:t>
      </w:r>
    </w:p>
    <w:p>
      <w:r>
        <w:rPr>
          <w:b/>
        </w:rPr>
        <w:t>E. 5</w:t>
      </w:r>
    </w:p>
    <w:p>
      <w:r>
        <w:t>Bei diesem Ausgang des Verfahrens sind keine Kosten zu erheben (Art. 63 Abs. 1 und 2 VwVG).</w:t>
      </w:r>
    </w:p>
    <w:p>
      <w:r>
        <w:rPr>
          <w:b/>
        </w:rPr>
        <w:t>E. 6</w:t>
      </w:r>
    </w:p>
    <w:p>
      <w:r>
        <w:t>Dem obsiegenden und vertretenen Beschwerdeführer ist zulasten der Vorinstanz eine Parteientschädigung für die ihm erwachsenen notwendigen und verhältnismässig hohen Kosten zuzusprechen (Art. 64 Abs.1 VwVG i.V.m. Art. 7 des Reglements vom 21. Februar 2008 über die Kosten und Entschädigungen vor dem Bundesverwaltungsgericht [VGKE, SR 173.320.2]). In der Kostennote vom 9. Dezember 2017 wird ein zeitlicher Aufwand von 7,5 Stunden ausgewiesen, der insgesamt als angemessen erachtet wird. Indessen ist der angegebene Stundenansatz von Fr. 200.- zu kürzen. Unter Berücksichtigung der massgebenden Bemessungsfaktoren (Art. 9-13 VGKE), der Entschädigungspraxis in Vergleichsfällen und des Ansatzes des Gerichts für Fälle der amtlichen nichtanwaltlichen Rechtsverbeiständung ist der Parteientschädigung ein Stundenansatz von Fr. 150.- zugrunde zu legen. Somit beläuft sich die angepasste Kostennote auf total Fr. 1140.-. Die zu Lasten des Gerichts auszurichtende Parteientschädigung beträgt demnach (gerundet) Fr. 1'200.- (inkl. Auslagen und Mehrwertsteuer).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