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D-7097/2009 vom 19. November 2009</w:t>
      </w:r>
    </w:p>
    <w:p>
      <w:r>
        <w:t>Bundesverwaltungsgericht, 2009-11-19, DE</w:t>
      </w:r>
    </w:p>
    <w:p>
      <w:r>
        <w:rPr>
          <w:b/>
        </w:rPr>
        <w:t xml:space="preserve">Quelle: </w:t>
      </w:r>
      <w:r>
        <w:t>https://mcp.opencaselaw.ch/entscheid/bvger_D-7097_2009</w:t>
      </w:r>
    </w:p>
    <w:p>
      <w:r>
        <w:t>FR: TAF D-7097/2009 du 19 novembre 2009</w:t>
      </w:r>
    </w:p>
    <w:p>
      <w:r>
        <w:t>IT: TAF D-7097/2009 del 19 novembre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6 AsylG i.V.m. Art. 48 Abs. 1, Art. 50 Abs. 1 und Art. 52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Vorbringen in der Beschwerdeschrift vom 11. November 2009 sind nicht geeignet, eine Änderung der angefochtenen Verfügung zu bewirken. Der Argumentation des BFM werden keine stichhaltigen und substanziierten Gründe entgegengesetzt. Eine diesbezügliche Auseinandersetzung unterbleibt zwar nicht grundsätzlich. Die Ausführungen des Beschwerdeführers vermögen jedoch die substanziiert vorgebrachten und einwandfrei nachvollziehbaren Erwägungen der Vorinstanz nicht umzustossen. Für das Bundesverwaltungsgericht besteht nach Überprüfung der Akten keine Veranlassung, die Erwägungen des BFM zu beanstanden. Um Wiederholungen zu vermeiden, kann daher auf die entsprechend zutreffenden Ausführungen in der angefochtenen Verfügung verwiesen werden (vgl. Art. 4 VwVG i.V.m. Art. 6 AsylG und Art. 109 Abs. 3 BGG). Infolgedessen erfüllt der Beschwerdeführer die Flüchtlingseigenschaft gemäss Art. 3 AsylG nicht, weshalb die Vorinstanz sein Asylgesuch zu Recht abgelehnt hat.</w:t>
      </w:r>
    </w:p>
    <w:p>
      <w:r>
        <w:rPr>
          <w:b/>
        </w:rPr>
        <w:t>E. 5.2</w:t>
      </w:r>
    </w:p>
    <w:p>
      <w:r>
        <w:t>Aufgrund der vorstehenden Ausführungen erübrigt es sich, auf die Vorbringen in der Beschwerdeschrift im Einzelnen einzugehen, da sie am Ergebnis der vorgenommenen Würdigung nichts zu ändern vermögen.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[Grosse Kammer], Saadi gegen Italien, Urteil vom 28. Februar 2008, Beschwerde Nr. 37201/06, §§ 124-127,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7.4.1</w:t>
      </w:r>
    </w:p>
    <w:p>
      <w:r>
        <w:t>Vorliegend sind keine Anhaltspunkte ersichtlich, wonach der Beschwerdeführer bei einer Rückkehr in die Türkei aufgrund der allgemeinen Lage einer konkreten Gefährdung ausgesetzt wäre. Das Bundesverwaltungsgericht erachtet den Wegweisungsvollzug in die Türkei gestützt auf die allgemeine Lage als generell zumutbar (vgl. EMARK 2005 Nr. 21).</w:t>
      </w:r>
    </w:p>
    <w:p>
      <w:r>
        <w:rPr>
          <w:b/>
        </w:rPr>
        <w:t>E. 7.4.2</w:t>
      </w:r>
    </w:p>
    <w:p>
      <w:r>
        <w:t>Bei einer Gesamtwürdigung der aktuellen Situation in der Türkei bestehen keine Hinweise darauf, dass der junge und gemäss Aktenlage gesunde Beschwerdeführer dort einer konkreten Gefährdung im Sinne von Art. 83 Abs. 4 AuG ausgesetzt sein könnte. Es ist davon auszugehen, dass eine Reintegration in seiner Heimat möglich sein wird, zumal er eigenen Angaben zufolge während neun Jahren in J. gelebt hat. Ausserdem besuchte er elf Jahre lang die Schule und arbeitete von 2000 bis zur Ausreise im Jahr 2009 in einem Kaffeehaus. Es ist ihm daher zuzumuten, sich erneut in seinem Heimatland niederzulassen und eine neue Existenz aufzubauen. Im Weiteren verfügt er in der Türkei über ein tragfähiges familiäres Beziehungsnetz (Kinder mit ihrer Mutter, Eltern und Schwestern), das ihm bei der Wiedereingliederung behilflich sein kann. Zusammenfassend kann somit gesagt werden, dass dem Beschwerdeführer die soziale sowie die wirtschaftliche Reintegration gelingen sollte. Demnach erweist sich der Vollzug der Wegweisung als zumutbar.</w:t>
      </w:r>
    </w:p>
    <w:p>
      <w:r>
        <w:rPr>
          <w:b/>
        </w:rPr>
        <w:t>E. 7.5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10.1</w:t>
      </w:r>
    </w:p>
    <w:p>
      <w:r>
        <w:t>Das Gesuch um Gewährung der unentgeltlichen Rechtspflege im Sinne von Art. 65 Abs. 1 VwVG ist abzuweisen, da die Beschwerde aufgrund vorstehender Erwägungen als aussichtslos erscheint.</w:t>
      </w:r>
    </w:p>
    <w:p>
      <w:r>
        <w:rPr>
          <w:b/>
        </w:rPr>
        <w:t>E. 10.2</w:t>
      </w:r>
    </w:p>
    <w:p>
      <w:r>
        <w:t>Bei diesem Ausgang des Verfahrens sind die Kosten dem Beschwerdeführer aufzuerlegen (Art. 63 Abs. 1 und 5 VwVG) und auf insgesamt Fr. 600.-- festzusetzen (Art. 16 Abs. 1 Bst. a VGG i.V.m.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