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D-7095/2024 vom 20. November 2024</w:t>
      </w:r>
    </w:p>
    <w:p>
      <w:r>
        <w:t>Bundesverwaltungsgericht, 2024-11-20, DE</w:t>
      </w:r>
    </w:p>
    <w:p>
      <w:r>
        <w:rPr>
          <w:b/>
        </w:rPr>
        <w:t xml:space="preserve">Quelle: </w:t>
      </w:r>
      <w:r>
        <w:t>https://mcp.opencaselaw.ch/entscheid/bvger_D-7095_2024</w:t>
      </w:r>
    </w:p>
    <w:p>
      <w:r>
        <w:t>FR: TAF D-7095/2024 du 20 novembre 2024</w:t>
      </w:r>
    </w:p>
    <w:p>
      <w:r>
        <w:t>IT: TAF D-7095/2024 del 20 novembre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w:t>
      </w:r>
    </w:p>
    <w:p>
      <w:r>
        <w:t>D-7095/2024 Seite 4 zweiten Richters (Art. 111 Bst. e AsylG), ohne Weiterungen und mit sum- marischer Begründung zu behandeln (Art. 111a Abs. 1 und 2 AsylG).</w:t>
      </w:r>
    </w:p>
    <w:p>
      <w:r>
        <w:rPr>
          <w:b/>
        </w:rPr>
        <w:t>E. 4</w:t>
      </w:r>
    </w:p>
    <w:p>
      <w:r>
        <w:t>Die subeventualiter beantragte Rückweisung der Sache an das SEM zur Neubeurteilung wird in der Beschwerde nicht ansatzweise begründet. Auch aus den Akten ergeben sich keine Hinweise auf Verfahrensfehler, weshalb der Rückweisungsantrag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 in der angefochtenen Verfügung zum Schluss, die Vorbringen des Beschwerdeführers hielten den Anforderungen an die Flüchtlingseigenschaft gemäss Art. 3 AsylG nicht stand. Im Wesentlichen hält es fest, dass es sich bei den vom Beschwerdeführer geltend gemachten Behelligungen seitens Angehöriger von Drogenbanden um eine Verfolgung durch private Drittpersonen handle, gegen die der tür- kische Staat grundsätzlich und auch vorliegend schutzfähig und schutzwil- lig sei. Ferner sei die geltend gemachte Verfolgung seinen Angaben zu- folge lokal begrenzt, weshalb er sich alternativ auch in einer anderen Re- gion in der Türkei aufhalten könnte, falls er sich in B._______ – am Ort der Übergriffe – trotz der Schutzmassnahmen unsicher fühlen sollte. Weiter</w:t>
      </w:r>
    </w:p>
    <w:p>
      <w:r>
        <w:t>D-7095/2024 Seite 5 würden die vorgebrachten wirtschaftlichen Schwierigkeiten keine Asylrele- vanz entfalten.</w:t>
      </w:r>
    </w:p>
    <w:p>
      <w:r>
        <w:t>Zur Stellungnahme zum Verfügungsentwurf erwägt es, dass damit keine Tatsachen oder Beweismittel vorgelegt worden seien, welche eine Ände- rung des dargelegten Standpunktes rechtfertigen könnten, weshalb auf die bisherigen Erwägungen verwiesen werden könne.</w:t>
      </w:r>
    </w:p>
    <w:p>
      <w:r>
        <w:rPr>
          <w:b/>
        </w:rPr>
        <w:t>E. 6.2</w:t>
      </w:r>
    </w:p>
    <w:p>
      <w:r>
        <w:t>In der Rechtsmitteleingabe macht der Beschwerdeführer eine politisch motivierte Verfolgung durch die heimatlichen Behörden geltend, welche dazu geführt habe, dass er die Türkei aus Angst vor ernsthaften Nachteilen habe verlassen müssen. Namentlich sei gegen ihn ein Ermittlungsverfah- ren wegen Propaganda für eine terroristische Organisation eingeleitet wor- den, wie die beigebrachten Justizdokumente belegten. Nach wie vor äussere er sich, wie auch andere Familienangehörige, kritisch gegenüber dem türkischen Regime.</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Die Ausführungen auf Beschwerde- ebene und die eingereichten Beweismittel führen zu keiner anderen Be- trachtungsweise.</w:t>
      </w:r>
    </w:p>
    <w:p>
      <w:r>
        <w:rPr>
          <w:b/>
        </w:rPr>
        <w:t>E. 7.2</w:t>
      </w:r>
    </w:p>
    <w:p>
      <w:r>
        <w:t>Was das erstmals auf Beschwerdeebene geltend gemachte Ermitt- lungsverfahren wegen Propaganda für eine terroristische Organisation an- belangt, ist festzuhalten, dass die hierzu eingereichten Justizdokumente über keinerlei (verifizierbare) Sicherheitsmerkmale verfügen, weshalb ihnen lediglich ein geringer Beweiswert zukommt. Die Authentizität der ein- gereichten Justizdokumente kann – wie nachfolgend aufgezeigt – indes of- fenbleiben, da mit diesen Dokumenten allenfalls ein staatsanwaltschaftli- ches Ermittlungsverfahren belegt werden kann und dieser Umstand alleine nicht zur Annahme einer begründeten Furcht vor zukünftiger Verfolgung gemäss Art. 3 AsylG führt, sondern nur bei Vorliegen zusätzlicher Risiko- faktoren (vgl. kürzlich ergangenes Koordinationsurteil des BVGer E-4103/2024 vom 8. November 2024 E. 8 f. m.w.H.). In diesem Zusam- menhang ist daran zu erinnern, dass der Beschwerdeführer anlässlich der Anhörung zu Protokoll gegeben hat, strafrechtlich unbescholten zu sein und die Türkei legal auf dem Luftweg verlassen zu haben (vgl. SEM-Akten [...]-17/10 [nachfolgend A17] F44 ff.). Soweit er in der Beschwerde erstmals</w:t>
      </w:r>
    </w:p>
    <w:p>
      <w:r>
        <w:t>D-7095/2024 Seite 6 vorbringt, über ein geschärftes politisches Profil zu verfügen, ist festzuhal- ten, dass dies nicht weiter ausgeführt, begründet oder belegt wird. Dieses Vorbringen ist mithin als nachgeschoben und unglaubhaft zu qualifizieren und somit unbeachtlich. Dasselbe gilt für sein angeblich politisches Umfeld, welches er im vorinstanzlichen Verfahren an keiner Stelle erwähnt hat. Nach dem Gesagten ist selbst bei unterstellter Glaubhaftigkeit der geltend gemachten Ermittlungen nicht davon auszugehen, dass der Beschwerde- führer bei einer Rückkehr mit beachtlicher Wahrscheinlichkeit und in ab- sehbarer Zukunft eine flüchtlingsrechtlich relevante Verfolgung zu befürch- ten hat.</w:t>
      </w:r>
    </w:p>
    <w:p>
      <w:r>
        <w:rPr>
          <w:b/>
        </w:rPr>
        <w:t>E. 7.3</w:t>
      </w:r>
    </w:p>
    <w:p>
      <w:r>
        <w:t>Hinsichtlich der übrigen Vorbringen (drohende Gefahr seitens Angehö- riger von Drogenbanden sowie ökonomische Schwierigkeiten) kann auf die zutreffenden Erwägungen der Vorinstanz verwiesen werden, denen auf Be- schwerdeebene nichts entgegengehalten wird.</w:t>
      </w:r>
    </w:p>
    <w:p>
      <w:r>
        <w:rPr>
          <w:b/>
        </w:rPr>
        <w:t>E. 7.4</w:t>
      </w:r>
    </w:p>
    <w:p>
      <w:r>
        <w:t>Die Vorinstanz hat demzufolge die Flüchtlingseigenschaft des Be- schwerdeführers zu Recht verneint und sein Asylgesuch folgerichtig abge- lehnt.</w:t>
      </w:r>
    </w:p>
    <w:p>
      <w:r>
        <w:rPr>
          <w:b/>
        </w:rPr>
        <w:t>E. 8</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D-7095/2024 Seite 7</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9.2.3</w:t>
      </w:r>
    </w:p>
    <w:p>
      <w:r>
        <w:t>Was die anlässlich der Anhörung geltend gemachten suizidalen Ab- sichten im Falle einer Wegweisung in die Türkei anbelangt (vgl. A17 F73 f.), ist festzuhalten, dass Suizidalität für sich allein kein Vollzugshindernis dar- stellt (vgl. insbesondere Entscheidungen und Mitteilungen der [vormaligen] Schweizerischen Asylrekurskommission [EMARK] 2005 Nr. 23 E. 5.1, S. 212 m.w.H.). Allfälligen suizidalen Tendenzen ist bei der Ausgestaltung der Vollzugsmodalitäten angemessen Rechnung zu tragen.</w:t>
      </w:r>
    </w:p>
    <w:p>
      <w:r>
        <w:rPr>
          <w:b/>
        </w:rPr>
        <w:t>E. 9.2.4</w:t>
      </w:r>
    </w:p>
    <w:p>
      <w:r>
        <w:t>Nach dem Gesagten ist der Vollzug der Wegweisung sowohl im Sinne der landes- als auch der völkerrechtlichen Bestimmungen zulässig.</w:t>
      </w:r>
    </w:p>
    <w:p>
      <w:r>
        <w:t>D-7095/2024 Seite 8</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In der Türkei ist nicht von einer Situation allgemeiner Gewalt oder bürgerkriegsähnlichen Verhältnissen auszugehen (vgl. Referenzurteil E-1948/2018 vom 12. Juni 2018 E. 7.3 sowie Koordinationsurteil des BVGer E-4103/2024 vom 8. November 2024 E. 13, je m.w.H.).</w:t>
      </w:r>
    </w:p>
    <w:p>
      <w:r>
        <w:rPr>
          <w:b/>
        </w:rPr>
        <w:t>E. 9.3.2</w:t>
      </w:r>
    </w:p>
    <w:p>
      <w:r>
        <w:t>Auch sprechen – wie vom SEM zutreffend dargelegt – keine individu- ellen Gründe gegen einen Wegweisungsvollzug. Beim Beschwerdeführer handelt es sich um einen (…)-jährigen Mann, der in der Türkei mit seinen zahlreichen Familienangehörigen (…) auf ein tragfähiges Beziehungsnetz zurückgreifen kann (vgl. A17 F5 f., F9, F25 f., F69). Weiter hat er in seinem Heimatland Arbeitserfahrungen in der (…) und (…) gesammelt (vgl. A17 F12 ff.), was ihm beim Aufbau einer neuen wirtschaftlichen Existenz entge- genkommen wird. Jedenfalls stellen wirtschaftliche Schwierigkeiten, von denen die ansässige Bevölkerung im Allgemeinen betroffen ist, keine exis- tenzbedrohende Situation dar (vgl. BVGE 2008/34 E. 11). Abschliessend ist wiederum festzuhalten, dass einer allenfalls auftretenden akuten Suizi- dalität des Beschwerdeführers mit geeigneten Massnahmen im Rahmen der Vollzugsmodalitäten Rechnung zu tragen ist (vgl. E. 9.2.3 hiervor).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t>D-7095/2024 Seite 9</w:t>
      </w:r>
    </w:p>
    <w:p>
      <w:r>
        <w:rPr>
          <w:b/>
        </w:rPr>
        <w:t>E. 11.1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geltend gemachten Mittellosig- keit abzuweisen ist.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D-7095/2024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