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D-7095/2014 vom 8. Mai 2015</w:t>
      </w:r>
    </w:p>
    <w:p>
      <w:r>
        <w:t>Bundesverwaltungsgericht, 2015-05-08, DE</w:t>
      </w:r>
    </w:p>
    <w:p>
      <w:r>
        <w:rPr>
          <w:b/>
        </w:rPr>
        <w:t xml:space="preserve">Quelle: </w:t>
      </w:r>
      <w:r>
        <w:t>https://mcp.opencaselaw.ch/entscheid/bvger_D-7095_2014</w:t>
      </w:r>
    </w:p>
    <w:p>
      <w:r>
        <w:t>FR: TAF D-7095/2014 du 8 mai 2015</w:t>
      </w:r>
    </w:p>
    <w:p>
      <w:r>
        <w:t>IT: TAF D-7095/2014 del 8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(vgl. Art. 105 AsylG; Art. 48 Abs. 1 VwVG).</w:t>
      </w:r>
    </w:p>
    <w:p>
      <w:r>
        <w:rPr>
          <w:b/>
        </w:rPr>
        <w:t>E. 1.3</w:t>
      </w:r>
    </w:p>
    <w:p>
      <w:r>
        <w:t>Das genaue Eröffnungsdatum der angefochtenen Verfügung ist nicht bekannt. Zu Gunsten der Beschwerdeführenden ist davon auszugehen, dass die am 24. November 2014 bei der Vertretung eingegangene Beschwerde innerhalb der dreissigtägigen Beschwerdefrist eingereicht worden ist. Vorliegend handelt es sich um eine sogenannte Laienbeschwerde, an die keine hohen formellen Anforderungen zu stellen sind, weshalb auf die frist- und formgerecht eingereichte Beschwerde einzutreten ist (Art. 108 Abs. 1 AsylG und Art. 52 Abs. 1 VwVG).</w:t>
      </w:r>
    </w:p>
    <w:p>
      <w:r>
        <w:rPr>
          <w:b/>
        </w:rPr>
        <w:t>E. 1.4</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BVGer D-103/2014 vom 21. Januar 2015).</w:t>
      </w:r>
    </w:p>
    <w:p>
      <w:r>
        <w:rPr>
          <w:b/>
        </w:rPr>
        <w:t>E. 3</w:t>
      </w:r>
    </w:p>
    <w:p>
      <w:r>
        <w:t>Das vorliegende Urteil ergeht gestützt auf die Übergangsbestimmung zur Änderung des Asylgesetzes vom 28. September 2012 (in Kraft getreten am 29. September 2012; AS 2012 5359), wonach für Asylgesuche, die im Ausland vor dem Inkrafttreten der Änderung vom 28. September 2012 gestellt worden sind, die Art. 12, 19, 20, 41 Abs. 2, 52 und 68 AsylG in der bisherigen Fassung Geltung haben. Nachfolgend wird deshalb auf die genannten Normen des AsylG und die entsprechenden Ausführungsbestimmungen in dieser bisherigen Fassung verwiesen.</w:t>
      </w:r>
    </w:p>
    <w:p>
      <w:r>
        <w:rPr>
          <w:b/>
        </w:rPr>
        <w:t>E. 4</w:t>
      </w:r>
    </w:p>
    <w:p>
      <w:r>
        <w:t>Ein Asylgesuch kann gemäss aArt. 19 Abs. 1 AsylG im Ausland bei einer schweizerischen Vertretung gestellt werden. Die Vertretung führt mit der asylsuchenden Person in der Regel eine Befragung durch (aArt. 10 Abs. 1 der Asylverordnung 1 vom 11. August 1999 über Verfahrensfragen [AsylV 1, SR 142.311]).</w:t>
      </w:r>
    </w:p>
    <w:p>
      <w:r>
        <w:rPr>
          <w:b/>
        </w:rPr>
        <w:t>E. 5</w:t>
      </w:r>
    </w:p>
    <w:p>
      <w:r>
        <w:t>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 aArt. 20 Abs. 2 AsylG bewilligt das Bundesamt einer asylsuchenden Person die Einreise in die Schweiz zur Abklärung des Sachverhaltes, wenn ihr nicht zugemutet werden kann, im Wohnsitz- oder Aufenthaltsstaat zu bleiben oder in ein anderes Land auszureisen. Bei diesem Entscheid rechtfertigt es sich, die Voraussetzungen restriktive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 zugemutet werden kann (vgl. BVGE 2011/10 E. 3.3 m.w.H.).</w:t>
      </w:r>
    </w:p>
    <w:p>
      <w:r>
        <w:rPr>
          <w:b/>
        </w:rPr>
        <w:t>E. 7.1</w:t>
      </w:r>
    </w:p>
    <w:p>
      <w:r>
        <w:t>Das Gericht kommt nach Prüfung der Akten zum Schluss, dass die vorinstanzlichen Erwägungen zu bestätigen sind. Zur Vermeidung von Wiederholungen kann auf diese verwiesen werden (vgl. Bst. C hiervor). Ergänzend bestätigt das Gericht ebenfalls die vorinstanzliche Erwägung betreffend die geltend gemachte Entführung des Beschwerdeführers im März 2014. Wie die Vorinstanz zu Recht festgehalten hat, halten die damit zusammenhängenden Aussagen den Anforderungen an die Glaubhaftigkeit im Sinne von Art. 7 AsylG nicht stand. Es liegen insbesondere wesentliche Widersprüche vor, auch bezüglich der medizinischen Versorgung des Beschwerdeführers nach der Entführung (vgl. Bst. B hiervor).</w:t>
      </w:r>
    </w:p>
    <w:p>
      <w:r>
        <w:rPr>
          <w:b/>
        </w:rPr>
        <w:t>E. 7.2</w:t>
      </w:r>
    </w:p>
    <w:p>
      <w:r>
        <w:t>Die nicht in Abrede gestellten Benachteiligungen sowie Kontrollen und Befragungen begründen - auch schon mangels Intensität - keine Schutzbedürftigkeit im Sinne der massgeblichen Bestimmungen, selbst wenn aufgrund des Erlebten eine subjektive Furcht nachvollziehbar ist. Sodann hat die Vorinstanz zu Recht darauf hingewiesen, die geltend gemachte Verfolgung (sowohl von staatlichen Behörden als auch von Privaten) sei regional beschränkt, so dass ihnen eine innerstaatliche Fluchtalternative (recte: Schutzalternative) zur Verfügung stehe. Sie könnten sich demnach den Belästigungen entziehen und an einem anderen Ort in Sri Lanka Schutz finden. Zwar brachten sie anlässlich der Befragungen vor, ein Umzug nach Kopay, nach Colombo oder an einen anderen Ort in Sri Lanka sei ihnen nicht zuzumuten, da die Beschwerdeführerin wegen ihrer Krankheit und aus ökonomischen Gründen auf die Hilfe der Familie in Kaithady East angewiesen sei. Doch darf davon ausgegangen werden, dass die Familie und weitere Verwandte die Beschwerdeführenden auch nach einem Wegzug unterstützen werden. Zumindest scheint die Distanz zu Kopay - das sich ihren Angaben zufolge nur zwei Kilometer von Kaithady East entfernt befindet - überbrückbar.</w:t>
      </w:r>
    </w:p>
    <w:p>
      <w:r>
        <w:rPr>
          <w:b/>
        </w:rPr>
        <w:t>E. 7.3</w:t>
      </w:r>
    </w:p>
    <w:p>
      <w:r>
        <w:t>Die Vorbringen in den Eingaben auf Beschwerdestufe sind nicht geeignet, eine Änderung der angefochtenen Verfügung zu bewirken, zumal eine Auseinandersetzung mit den vorinstanzlichen Erwägungen unterbleibt. Die Beschwerdeführenden tragen zwar vor, von aktuellen Ereignissen betroffen zu sein. Mit den pauschalen und unsubstanziierten Ausführungen wird jedoch keine individuelle Betroffenheit im Sinne des Asylgesetzes dargetan. Vielmehr ist festzuhalten, dass nähere beziehungsweise konkrete Hinweise oder Aufschlüsse für eine aktuelle (asyl-)relevante Gefährdungssituation fehlen. Die nicht bestrittenen schwierigen Lebensumstände der Beschwerdeführenden, wie etwa das Ringen um eine wirtschaftliche Existenzgrundlange, führen nicht zu einem anderen Ergebnis.</w:t>
      </w:r>
    </w:p>
    <w:p>
      <w:r>
        <w:rPr>
          <w:b/>
        </w:rPr>
        <w:t>E. 7.4</w:t>
      </w:r>
    </w:p>
    <w:p>
      <w:r>
        <w:t>Nach dem Gesagten ist festzuhalten, dass die Beschwerdeführenden nicht des Schutzes der Schweiz bedürfen. Es erübrigt sich daher, auf die weiteren Vorbringen und eingereichten Beweismittel einzugehen, da sie am vorliegenden Ergebnis nichts zu ändern vermögen. Die Bewilligung zur Einreise in die Schweiz und das Asylgesuch wurden von der Vor­instanz zu Recht abgelehnt.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