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D-7095/2009 vom 16. Februar 2012</w:t>
      </w:r>
    </w:p>
    <w:p>
      <w:r>
        <w:t>Bundesverwaltungsgericht, 2012-02-16, DE</w:t>
      </w:r>
    </w:p>
    <w:p>
      <w:r>
        <w:rPr>
          <w:b/>
        </w:rPr>
        <w:t xml:space="preserve">Quelle: </w:t>
      </w:r>
      <w:r>
        <w:t>https://mcp.opencaselaw.ch/entscheid/bvger_D-7095_2009</w:t>
      </w:r>
    </w:p>
    <w:p>
      <w:r>
        <w:t>FR: TAF D-7095/2009 du 16 février 2012</w:t>
      </w:r>
    </w:p>
    <w:p>
      <w:r>
        <w:t>IT: TAF D-7095/2009 del 16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in der Regel - so auch vorliegend - endgültig,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im Wesentlichen damit, er sei anhaltenden Vergeltungsmassnahmen seitens der Verwandtschaft seiner früheren Freundin und ihres Ehemannes ausgesetzt gewesen, weil er ein Liebesverhältnis zu ihr unterhalten habe.</w:t>
      </w:r>
    </w:p>
    <w:p>
      <w:r>
        <w:rPr>
          <w:b/>
        </w:rPr>
        <w:t>E. 4.2</w:t>
      </w:r>
    </w:p>
    <w:p>
      <w:r>
        <w:t>Unbesehen der Frage der Glaubhaftigkeit dieser Vorbringen ist festzuhalten, dass dem Beschwerdeführer zweifellos bewusst war, dass er gegen im Iran und in Afghanistan verwurzelte gesellschaftliche Wertvorstellungen verstösst, wenn er eine aussereheliche Liebesbeziehung zu einer Frau unterhält, und er im Falle der Entdeckung dieses Verhältnisses ernsthafte Probleme mit der Familie der Freundin und derjenigen ihres Verlobten beziehungsweise Ehemannes zu erwarten hätte. Den geltend gemachten Vergeltungsabsichten der Familien seiner früheren Freundin beziehungsweise ihres Ehemannes liegt indessen kein asylrechtlich relevantes Verfolgungsmotiv im Sinne von Art. 3 Abs. 1 AsylG zugrunde, weshalb er aus seinen diesbezüglichen Vorbringen in Bezug auf die Anerkennung der Flüchtlingseigenschaft nichts zu seinen Gunsten ableiten kann. Es erübrigt sich daher, auf die Ausführungen in der Beschwerde näher einzugehen, da diese lediglich Aspekte der Glaubhaftigkeit der Asylvorbringen des Beschwerdeführers betreffen und deshalb nicht geeignet sind, im Hinblick auf die Flüchtlingseigenschaft zu einer von derjenigen des BFM abweichenden Beurteilung zu führen. Dem Beschwerdeführer gelingt es somit mit seinen Vorbringen nicht, eine asyl- beziehungsweise flüchtlingsrechtlich erhebliche Verfolgungsgefahr nachzuweisen oder zumindest glaubhaft zu machen. Das Bundesamt hat das Asylgesuch demnach im Ergebnis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 S. 510,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EMARK 2006 Nr. 6 E. 4.2 S. 54 f.).</w:t>
      </w:r>
    </w:p>
    <w:p>
      <w:r>
        <w:rPr>
          <w:b/>
        </w:rPr>
        <w:t>E. 6.2</w:t>
      </w:r>
    </w:p>
    <w:p>
      <w:r>
        <w:t>Weil sich vorliegend der Vollzug der Wegweisung - aus den nachfol­gend aufgeführten Gründen - als unzumutbar erweist, ist dementspre­chend auf eine Erörterung der beiden anderen Kriterien zu verzichten.</w:t>
      </w:r>
    </w:p>
    <w:p>
      <w:r>
        <w:rPr>
          <w:b/>
        </w:rPr>
        <w:t>E. 7.1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In Bezug auf die allgemeine Lage in Afghanistan kann auf die vom Bun­desverwaltungsgericht in BVGE 2011/7 vorgenommene Einschätzung der Lage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BVGE 2011/7 E. 9.9.1 f. S. 104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BVGE 2011/7 E. 9.9.3 S. 105).</w:t>
      </w:r>
    </w:p>
    <w:p>
      <w:r>
        <w:rPr>
          <w:b/>
        </w:rPr>
        <w:t>E. 7.3</w:t>
      </w:r>
    </w:p>
    <w:p>
      <w:r>
        <w:t>Aufgrund der Akten stellt sich vor diesem Hintergrund einzig die Frage, ob es dem Beschwerdeführer unter individuellen Gesichtspunkten zuzumuten ist, nach Herat zurückzukehren. Das Bundesverwaltungsgericht ist im Urteil D-2312/2009 vom 28. Oktober 2011 in Bezug auf die allgemeine Lage in der Stadt Herat zum Schluss gelangt, dass die dortige Situation mit derjenigen Kabuls vergleichbar ist, weshalb es nicht gerechtfertigt sei, dort von einer Situation allgemeiner Gewalt zu sprechen (BVGE D-2312/2009 E. 4.3.3.1). Zunächst ist aufgrund der Aktenlage davon auszugehen, dass der aus der Provinz D._______ stammende Beschwerdeführer Afghanistan gemeinsam mit seinen Eltern bereits im Kindesalter verlassen hat und - von einem mehrmonatigen Aufenthalt in Herat abgesehen - nie mehr nach Afghanistan zurückgekehrt ist, sondern ausschliesslich im Iran gelebt hat, womit er in Afghanistan nicht sozialisiert wurde. Er besitzt eigenen Angaben zufolge zwar einen Onkel mütterlicherseits, welcher mit seiner Familie (Ehefrau und fünf Kinder) seit dem Jahre 2006 in der Stadt Herat lebt und den er während seines dortigen zweimonatigen Aufenthalts im selben Jahr 2006 einmal besucht hat (vgl. act. A14 S. 6 f. F53 ff.). Nach Darstellung des Beschwerdeführers lebt dieser Onkel indessen angesichts seiner grossen Familie und seiner gesundheitlichen Situation (Querschnitts- beziehungsweise halbseitige Lähmung nach einem Schlaganfall) finanziell in einer angespannten Situation und vermag geradewegs für den Unterhalt seiner Familie aufzukommen (vgl. act. A14 S. 6 F56 bis 63 und Beschwerde S. 7). So besehen scheint nicht hinreichend gesichert, dass der Beschwerdeführer bei einer Rückkehr nach Herat auf ein tragfähiges Beziehungsnetz und damit einhergehend auf eine gesicherte Wohnsituation zurückgreifen könnte. Im Falle des Beschwerdeführers sind demnach die in EMARK 2003 Nr. 10 formulierten Voraussetzungen für die Bejahung der Zumutbarkeit des Wegweisungsvollzugs nach Kabul beziehungsweise Herat nicht erfüllt sind, weshalb sich der Vollzug der Wegweisung nach Afghanistan im Sinne von Art. 83 Abs. 4 AuG als unzumutbar erweist. Nachdem sich aus den Akten keine Ausschlussgründe im Sinne von Art. 83 Abs. 7 AuG ergeben, sind die Voraussetzungen für die Anordnung der vorläufigen Aufnahme somit erfüllt.</w:t>
      </w:r>
    </w:p>
    <w:p>
      <w:r>
        <w:rPr>
          <w:b/>
        </w:rPr>
        <w:t>E. 8</w:t>
      </w:r>
    </w:p>
    <w:p>
      <w:r>
        <w:t>Die Beschwerde ist folgerichtig gutzuheissen, soweit beantragt wird, es sei die Unzumutbarkeit des Wegweisungsvollzugs festzustellen und die vorläufige Aufnahme anzuordnen; im Übrigen ist sie abzuweisen. Die Zif­fern 4 und 5 des Dispositivs der vorinstanzlichen Verfügung vom 13. Oktober 2009 sind demnach aufzuheben und das BFM ist anzuweisen, den Aufenthalt des Beschwerdeführers nach den gesetzlichen Bestimmungen über die vorläufige Aufnahme zu regeln (vgl. Art. 44 Abs. 2 AsylG i.V.m. Art. 83 Abs. 4 AuG).</w:t>
      </w:r>
    </w:p>
    <w:p>
      <w:r>
        <w:rPr>
          <w:b/>
        </w:rPr>
        <w:t>E. 9.1</w:t>
      </w:r>
    </w:p>
    <w:p>
      <w:r>
        <w:t>Bei diesem Ausgang des Verfahrens ist dem Beschwerdeführer grundsätzlich ein reduzierter Anteil der Verfahrenskosten aufzuerlegen (Art. 63 Abs. 1 und 2 VwVG). Der Beschwerdeführer hat im Rahmen sei­ner Beschwerde ein Gesuch um Gewährung der unentgeltlichen Rechts­pflege im Sinne von Art. 65 Abs. 1 VwVG gestellt, das vom Instruktionsrichter mit Verfügung vom 4. Dezember 2009 - unter Vorbehalt einer nachträglichen Veränderung der finanziellen Verhältnisse des Beschwerdeführers - gutgeheissen worden ist. Der Beschwerdeführer geht seit Juni 2010 einer Erwerbstätigkeit als Mitarbeiter im Gemüsebau nach. Es ist jedoch nicht davon auszugehen, dass er dadurch Einkünfte erzielt, die über den für Alleinstehende geltenden Grundbetrag von Fr. 1'100.- hinausgehen. Somit ist er nach wie vor als prozessual bedürftig zu betrachten, weshalb die ihm gewährte unentgeltliche Rechtspflege nicht zu widerrufen ist. Folgerichtig sind ihm keine Verfahrenskosten aufzuerlegen.</w:t>
      </w:r>
    </w:p>
    <w:p>
      <w:r>
        <w:rPr>
          <w:b/>
        </w:rPr>
        <w:t>E. 9.2</w:t>
      </w:r>
    </w:p>
    <w:p>
      <w:r>
        <w:t>Gemäss Art. 64 Abs. 1 VwVG kann die Beschwerdeinstanz der obsiegenden Partei eine Parteientschädigung für die notwendigen und verhältnismässig hohen Kosten zusprechen. Angesichts des teilweisen Obsiegens ist dem vertretenen Beschwerdeführer eine reduzierte Parteientschädigung zuzusprechen (Art. 7 Abs. 2 des Reglements vom 21. Februar 2008 über die Kosten und Entschädigungen vor dem Bundesverwaltungsgericht [VGKE, SR 173.320.2]). Nachdem der Rechtsvertreter keine Kostennote eingereicht hat, ist die Parteientschädigung auf Grund der Akten festzulegen (Art. 14 Abs. 2 in fine VGKE). Unter Berücksichtigung der massgeblichen Bemessungsfaktoren (vgl. Art. 8 ff. VGKE) ist die um die Hälfte zu kürzende Parteientschädigung auf Fr. 600.- (inkl. Auslagen und Mehrwertsteuer)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