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D-7093/2009 vom 22. März 2011</w:t>
      </w:r>
    </w:p>
    <w:p>
      <w:r>
        <w:t>Bundesverwaltungsgericht, 2011-03-22, DE</w:t>
      </w:r>
    </w:p>
    <w:p>
      <w:r>
        <w:rPr>
          <w:b/>
        </w:rPr>
        <w:t xml:space="preserve">Quelle: </w:t>
      </w:r>
      <w:r>
        <w:t>https://mcp.opencaselaw.ch/entscheid/bvger_D-7093_2009</w:t>
      </w:r>
    </w:p>
    <w:p>
      <w:r>
        <w:t>FR: TAF D-7093/2009 du 22 mars 2011</w:t>
      </w:r>
    </w:p>
    <w:p>
      <w:r>
        <w:t>IT: TAF D-7093/2009 del 22 marzo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(Art. 108 Abs. 2 AsylG und Art. 105 AsylG i.V.m. Art. 52 VwVG). Der Beschwerdeführer ist durch die angefochtene Verfügung berührt und hat ein schutzwürdiges Interesse an deren Aufhebung beziehungsweise Änderung. Der Beschwer­deführer ist daher zur Einreichung der Beschwerde legitimiert (Art. 105 AsylG i.V.m. Art. 48 Abs. 1 VwVG). Auf die Beschwerde ist - unter Vorbehalt der nachstehenden Ausführungen (E. 3.)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gemäss Art. 32 - 35a AsylG beschränkt sich das Bundesverwaltungsgericht auf die Überprü­fung der Frage, ob die Vorinstanz zu Recht auf das Asylgesuch nicht eingetreten ist. Gelangt es zum Schluss, der angefochtene Nichteintretens­entscheid verletze Bundesrecht, enthält es sich einer selbständigen materiellen Prüfung, hebt die angefochtene Verfügung auf und weist die Sache zu neuer Entscheidung an die Vorinstanz zurück (BVGE 2007/8 E. 2.1 S. 73; Entscheidungen und Mitteilungen der Schweizerischen Asylrekurskommission [EMARK] 2004 Nr. 34 E. 2.1 S. 240 f.). Die Anerkennung der Flüchtlingseigenschaft und die Asylgewährung bilden somit nicht Gegen-stand des vorliegenden Verfahrens, weshalb auf den Antrag des Beschwerdeführers, es sei ihm Asyl zu gewähren, nicht einzutreten ist.</w:t>
      </w:r>
    </w:p>
    <w:p>
      <w:r>
        <w:rPr>
          <w:b/>
        </w:rPr>
        <w:t>E. 4.1</w:t>
      </w:r>
    </w:p>
    <w:p>
      <w:r>
        <w:t>Gemäss Art. 32 Abs. 2 Bst. e AsylG wird auf ein Asylgesuch nicht ein­getreten, wenn die asylsuchende Person in der Schweiz bereits ein Asylverfahren erfolglos durchlaufen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w:t>
      </w:r>
    </w:p>
    <w:p>
      <w:r>
        <w:rPr>
          <w:b/>
        </w:rPr>
        <w:t>E. 4.2</w:t>
      </w:r>
    </w:p>
    <w:p>
      <w:r>
        <w:t>Mit Urteil vom 7. Januar 2009 wies das Bundesverwaltungsgericht eine Beschwerde vom 3. Juni 2005 gegen die Verfügung des BFM vom 4. Mai 2005 ab. Der Beschwerdeführer hat somit in der Schweiz im Sinne von Art. 32 Abs. 2 Bst. e AsylG ein Asylverfahren erfolglos durchlaufen.</w:t>
      </w:r>
    </w:p>
    <w:p>
      <w:r>
        <w:rPr>
          <w:b/>
        </w:rPr>
        <w:t>E. 4.3</w:t>
      </w:r>
    </w:p>
    <w:p>
      <w:r>
        <w:t>Wie dem Urteil vom 7. Januar 2009 des Bundesverwaltungsgerichts zu entnehmen ist, waren nicht nur das geltend gemachte politische Engagement des Beschwerdeführers im Heimatstaat, sondern auch die subjektiven Nachfluchtgründe des Beschwerdeführers, die diesem angeblich drohende Reflexverfolgung aufgrund politischen Engagements naher Verwandter - beispielsweise seines Onkels D._______ - bereits Gegen-stand des ersten Asylverfahrens. Das Bundesverwaltungsgericht kam im obgenannten Urteil in vollkommener Übereinstimmung mit dem BFM zum Schluss, die geltend gemachten Nachteile, welche den Beschwerdeführer 2005 angeblich zur Flucht getrieben hätten, seien unglaubhaft, nicht genügend substanziiert und weder schlüssig noch plausibel. Überdies seien sie in wesentlichen Punkten widersprüchlich, entbehrten der inneren Logik und widersprächen der allgemeinen Erfahrung (vgl. a.a.O. E. 4.4 und 4.5). Darüber hinaus schloss das Bundesverwaltungsgericht im Urteil vom 9. Januar 2009 in einlässlichen Erwägungen begründete Furcht vor zukünftigen ernsthaften Nachteilen aus (vgl. a.a.O. E. 5.1 -5.9). Wie sich aus prozessualen Grundsätzen ergibt, kann die bereits als unglaubhaft beurteilte Sachverhaltverhaltsdarstellung des Beschwerdeführers nicht erneut Gegenstand einer materiellen Beurteilung im Rahmen eines zweiten Asylverfahrens bilden (res iudicata; FRITZ GYGI, Bundesverwaltungsrechtspflege, 2. Aufl., Bern 1983, S. 322 f.; ALFRED KÖLZ/ISABELLE HÄNER, Verwaltungsverfahren und Verwaltungsrechtspflege des Bundes, 2. Aufl., Zü­rich 1998, S. Rz. 715).</w:t>
      </w:r>
    </w:p>
    <w:p>
      <w:r>
        <w:rPr>
          <w:b/>
        </w:rPr>
        <w:t>E. 4.4</w:t>
      </w:r>
    </w:p>
    <w:p>
      <w:r>
        <w:t>In Anbetracht dieser Ausgangslage stellt sich die Frage, ob seit dem obgenannten Urteil des Bundesverwaltungsgerichts überhaupt Ereignisse eingetreten sind, die geeignet sind, die Flüchtlingseigenschaft zu begrün­den, oder die für die Gewährung vorübergehenden Schutzes relevant sind. Obwohl es, wie nachstehend aufzuzeigen sein wird, offensichtlich an derartigen Ereignissen fehlt, beantragt der Beschwerdeführer in seiner Eingabe vom 1. September 2009 bezeichnenderweise die Abklärung des Sachverhalts von Amtes wegen, beispielsweise durch Abklärungen vor Ort seitens der Schweizerischen Botschaft, und er rügt die entsprechende Unterlassung des BFM in seiner Beschwerdeschrift vom 13. November 2009 als unrichtige Abklärung des rechtserheblichen Sachverhalts bezie­hungsweise als Verletzung des rechtlichen Gehörs. Indessen werden diese Rügen zu Unrecht erhoben, stünden doch zusätzliche Sachverhaltsab­klärungen einem Nichteintretensentscheid nach Art. 32 Abs. 2 Bst. e AsylG entgegen, weil sie einen Kassationsgrund darstellten. Ins­besondere aber ist das Bundesverwaltungsgericht der Auffassung, die Vorinstanz habe vorliegendenfalls zu Recht einen Nichteintretensent­scheid gefällt, weil es in der Eingabe vom 1. September 2009 wie namentlich auch im Befragungsprotokoll (B2/10) an objektivierbaren Hinwei­sen im Sinne von Art. 32 Abs. 2 Bst. e AsylG fehlt. Dabei versteht es sich von selbst, dass es sich bei den Vorbringen in der Eingabe vom 1. September 2009 de iure um solche des Beschwerdeführers und nicht um solche seines Rechtsvertreters handelt; somit bedarf es auch keiner Anhö­rung nach den Art. 29 und 30 AsylG, um dem Beschwerdeführer Gelegenheit zu verschaffen, sich substanziiert zu äussern. Vielmehr genügte vorliegendenfalls die Gewährung des rechtlichen Gehörs nach Art. 36 Abs. 2 AsylG, weil der Beschwerdeführer eigenen Angaben zufolge nach Abschluss des vorangehenden Asylverfahrens nicht in den Heimatstaat zurückgekehrt war (vgl. BVGE 2009/53 E. 5.3 S. 770 und E. 5.6 S. 771). Die Vorinstanz kann auch nicht zu Recht der Willkür bezichtigt werden, weil sie das Befragungsprotokoll vom 10. September 2009 in ihren Ent­scheiderwägungen nicht ausdrücklich erwähnt hat. Vielmehr erscheint die Auseinandersetzung mit den entsprechenden Vorbringen des Beschwer­deführers, wie sie den Erwägungen der angefochtenen Verfügung auch ohne ausdrücklichen Verweis auf das Protokoll zu entnehmen ist, als rechtsgenüglich. Als korrekt erweist sich ferner auch die Begründung der angefochtenen Verfügung, zumal sich aus ihr ergeben muss, weshalb sich aus den Vorbringen des Beschwerdeführers keine Hinweise auf eine relevante Verfolgung ergeben, die nicht von vornherein haltlos sind (vgl. BVGE 2008/57 E. 3.2 S. 780, EMARK 2005 Nr. 2 E. 4.3. S. 17). Was schliesslich die Haltlosigkeit der vom Beschwerdeführer ins Feld ge­führten Hinweise im Sinne von Art. 32 Abs. 2 Bst. e AsylG anbelangt, so kann bezüglich der Eingabe vom 1. September 2009 zur Vermeidung von Wiederholungen auf die zutreffenden Erwägungen in der angefochtenen Verfügung verwiesen werden. Noch deutlicher ergibt sich die Haltlosigkeit der angeblichen Hinweise allerdings aus den Vorbringen des Beschwerdeführers anlässlich der Befragung vom 10. September 2009. Obwohl er sich bei dieser Gelegenheit zum Sachverhalt substantiiert und nach Belieben hätte äussern können, fiel ihm auf die Frage nach den neuen Gründen zunächst lediglich der Hinweis auf die vorgängig eingereichten Beweismittel ein. Erst auf Nachfrage hin sprach er von Kundgebungen, insbesondere solchen, die bereits im Urteil vom 7. Januar 2009 des Bundesverwaltungsgerichts erwähnt sind. Indessen lässt auch die zwischenzeitliche Abgabe einer Pressemitteilung in U._______, worunter der Beschwerdeführer das Tragen eines Transparents versteht (B2/10 Ziff. 15 S. 5 unten und S. 6 oben), weiterhin keinen exponierten exilpolitischen Einsatz erkennen, der den Beschwerdeführer ins Zentrum des Interesses des türkischen Geheimdienstes rücken könnte, ebenso wenig wie die Teilnahme an "normalen Vereinsaktivitäten" der MLKP (vgl. auch Urteil des Bundesverwaltungsgerichts D-4668/2006 E. 4.3 und 5.5). Auch die tatsächlichen oder vermeintlichen Aktivitäten von Verwandten des Beschwerdeführers D._______", E._______, Vater, Mutter und Bruder) vermögen nicht zu einer veränderten Betrachtungsweise zu führen, wie der Beschwerdeführer im Grundsatz bereits dem vorerwähnten Urteil hätte entnehmen können (vgl. a.a.O. E. 5.5). Auch die angeblichen, zwischenzeitlichen Gerüchte zum Verzicht von D._______ auf den Flüchtlingsstatus ändern insofern nichts, als "eine begründete Furcht vor Re­flexverfolgung (...) selbst bei enger Verwandtschaft mit Personen, nach denen landesweit gefahndet wird, keinesfalls automatisch gegeben" ist, insbesondere auch nicht im Falle des Beschwerdeführers (vgl. a.a.O. E. 5.5).</w:t>
      </w:r>
    </w:p>
    <w:p>
      <w:r>
        <w:rPr>
          <w:b/>
        </w:rPr>
        <w:t>E. 4.5</w:t>
      </w:r>
    </w:p>
    <w:p>
      <w:r>
        <w:t>Der Vollständigkeit halber ist an dieser Stelle festzuhalten, dass sich sämtliche (zur Aufblähung des Prozessstoffs vorgebrachten) Rügen bezüglich angeblicher Verfahrensfehler als unzutreffend erwiesen haben, weshalb die damit verknüpften Rechtsbegehren ausnahmslos abzuwei­sen sind. Zusammenfassend ergibt sich, dass der Beschwerdeführer keine Hinweise zu erbringen vermochte, dass seit dem rechtskräftigen Ab­schluss des früheren Asylverfahrens Ereignisse eingetreten sind, die geeignet wären, die Flüchtlingseigenschaft zu begründen, oder die für die Gewährung vorübergehenden Schutzes relevant sind. Bei dieser Sach­lage erübrigt es sich, den vorinstanzlichen Entscheid zu kassieren und zu neuem Entscheid an die Vorinstanz zurückzuweisen, auf weitere Vorbrin­gen und Beweismittel weiter einzugehen oder zusätzliche Beweise zu erheben. Das BFM ist demnach zu Recht in Anwendung von Art. 32 Abs. 2 Bst. e AsylG auf das Asylgesuch des Beschwerdeführers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Hinweise im Sinne von Art. 32 Abs. 2 Bst. e AsylG vorzubringen,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jedoch nicht gelungen. Auch die allgemeine Menschenrechtssituation im Heimat­staat lässt den Wegweisungsvollzug zum heutigen Zeitpunkt nicht als unzulässig erscheinen. Art. 8 EMRK garantiert die Achtung des Familienlebens. Entsprechend ist beim Wegweisungsvollzug der Grundsatz der Einheit der Familie zu berücksichtigen (Art. 44 Abs. 1 AsylG). Voraussetzung ist ein tatsächlich be­stehendes Familienleben; wesentliche Faktoren sind die Länge und Stabilität der Beziehung, der gemeinsame Haushalt und die finanzielle Ver­flochtenheit der Partner (vgl. CHRISTOPH GRABENWARTER, Europäische Men­schenrechtskonvention, 4. Aufl., München/Basel/Wien 2009, S. 204). Gemäss eigenen Angaben hat der Beschwerdeführer, der sich seit dem 31. August 2009 wieder in der Schweiz aufhält, seine derzeit noch mit ei­nem anderen Mann verheiratete Freundin, mit der er sich Ende März 2011 verloben will, im Oktober 2009 kennengelernt. In den vorbestehen­den Akten ist sie indessen noch nicht einmal erwähnt. Ebenso wenig lässt sich den Akten entnehmen, er hätte zwischenzeitlich ein Gesuch um Kan­tonswechsel - vom Zuweisungskanton P._______ in den Wohnkanton der Freundin (Kanton V._______) - gestellt. Dementsprechend erscheint das (relativierende) Vorbringen, sie hätten in der Zwischenzeit "faktisch gröss­tenteils" zusammengelebt, als nicht plausibel, dies umso weniger, als die den Beschwerdeführer betreffenden Adressmutationen einen gegenteili­gen Schluss zulassen. Aufgrund der Aktenlage kann somit nicht davon gesprochen werden, der Beschwerdeführer habe mit seiner Verlobten in einer dauerhaften, eheähnlichen Gemeinschaft gelebt. Art. 8 EMRK steht somit einem Wegweisungsvollzug nicht entgegen. Der Wegweisungsvollzug stellt auch keinen unzulässigen Eingriff in das Recht auf Eheschliessung gemäss Art. 12 EMRK dar, zumal die Einlei­tung des Ehevorbereitungsverfahrens nicht zwingend die Anwesenheit des Beschwerdeführers in der Schweiz voraussetzt (vgl. Art. 62 ff. der Zi­vilstandsverordnung vom 28. April 2004 [ZStV, SR 211.112.2]). Der Vollzug der Wegweisung ist damit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den Akten finden sich auch keine konkreten Anhaltspunkte dafür, dass der nach wie vor junge und soweit aktenkundig gesunde Beschwerdefüh­rer aus individuellen Gründen wirtschaftlicher, sozialer oder gesundheitli­cher Natur in eine existenzbedrohende Situation geraten würde. Er hat bis zu seiner Ausreise immer in der Türkei gelebt und ist somit mit den dortigen Verhältnissen bestens vertraut. Mit seiner Mutter verfügt er im Heimatland über ein familiäres Beziehungsnetz (vgl. B2/10 Ziff. 12 S. 3). Überdies hat er gemäss eigenen Angaben sieben Jahre lang die Grund­schule besucht und sich sodann mit der Distribution von Grillkohle beschäftigt (vgl. B2/10 Ziff. 8 S. 2). Da auch in der Zukunft mit saisonaler Nachfrage nach Grillkohle gerechnet werden darf, ist nicht davon auszugehen, er würde bei einer Rückkehr in eine seine Existenz bedrohende Situation geraten, die als konkrete Gefährdung im Sinne der zu be­achtenden Bestimmungen zu werten wäre (Art. 83 Abs. 4 AuG), dies umso weniger, als er in der Schweiz sein berufliches Betätigungsfeld bei der Firma F._______ als (...) abgerundet hat, was seine beruflichen Perspektiven im Heimatstaat signifikant erweitert. Nach dem Gesagten erweist sich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Zusammenfassend ergibt sich, dass die angefochtene Verfügung Bundesrecht nicht verletzt, den rechtserheblichen Sachverhalt richtig und vollständig feststellt und angemessen ist (Art. 106 AsylG). Die Be­schwerde ist demnach abzuweisen, soweit darauf einzutreten ist.</w:t>
      </w:r>
    </w:p>
    <w:p>
      <w:r>
        <w:rPr>
          <w:b/>
        </w:rPr>
        <w:t>E. 8</w:t>
      </w:r>
    </w:p>
    <w:p>
      <w:r>
        <w:t>Bei diesem Ausgang des Verfahrens wären die Kosten dem Beschwerde­führer aufzuerlegen (Art. 63 Abs. 1 und 5 VwVG). Da ihm mit Zwischen­verfügung vom 3. Dezember 2009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