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D-7088/2010 vom 7. Dezember 2010</w:t>
      </w:r>
    </w:p>
    <w:p>
      <w:r>
        <w:t>Bundesverwaltungsgericht, 2010-12-07, DE</w:t>
      </w:r>
    </w:p>
    <w:p>
      <w:r>
        <w:rPr>
          <w:b/>
        </w:rPr>
        <w:t xml:space="preserve">Quelle: </w:t>
      </w:r>
      <w:r>
        <w:t>https://mcp.opencaselaw.ch/entscheid/bvger_D-7088_2010</w:t>
      </w:r>
    </w:p>
    <w:p>
      <w:r>
        <w:t>FR: TAF D-7088/2010 du 7 décembre 2010</w:t>
      </w:r>
    </w:p>
    <w:p>
      <w:r>
        <w:t>IT: TAF D-7088/2010 del 7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52 VwVG). Auf die Beschwerde ist - auch unter Berücksichtigung des Umstandes, dass die Mutter des Beschwerdeführers als dessen gesetzliche Vertreterin die Vollmacht des Rechtsvertreters unterzeichnete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Wie bereits in der Zwischenverfügung vom 1. Oktober 2010 festgehalten wurde, geht das Bundesverwaltungsgericht davon aus, dass auch Ziffer 1 des Dispositivs der vorinstanzlichen Verfügung (Verneinung der Flüchtlingseigenschaft) angefochten wurde.</w:t>
      </w:r>
    </w:p>
    <w:p>
      <w:r>
        <w:rPr>
          <w:b/>
        </w:rPr>
        <w:t>E. 1.5</w:t>
      </w:r>
    </w:p>
    <w:p>
      <w:r>
        <w:t>Das vorliegende Urteil ergeht aus sachlichen und prozessökonomischen Gründen gleichzeitig mit demjenigen der Mutter und der Schwester des Beschwerdeführers ([...]; Geschäftsnr. [...]; N_______), die gegen den Entscheid des BFM vom 30. August 2007 beim Bundesverwaltungsgericht am 1. Oktober 2007 eine Beschwerde einreichten (vgl. auch Bst. D. oben).</w:t>
      </w:r>
    </w:p>
    <w:p>
      <w:r>
        <w:rPr>
          <w:b/>
        </w:rPr>
        <w:t>E. 1.6</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Entscheids im Wesentlichen aus, es sei vorweg darauf hinzuweisen, dass die Vorbringen des Beschwerdeführers mit erheblichen Zweifeln belastet seien. So habe dieser beispielsweise zum Verbleib des Vaters andere Angaben als seine Mutter gemacht. Darüber hinaus seien seine Schilderungen sehr allgemein ausgefallen und würden sich in wenigen kurzen, stereotypen Sätzen erschöpfen. Die einfach und allgemein gehaltenen Aussagen würden eine subjektiv geprägte Wahrnehmung vermissen lassen, so dass seine Darlegungen als offensichtlich unglaubhaft zu taxieren seien. Insbesondere würden seine Ausführungen die vertiefende Substanz sowie eine authentische und erlebnisgeprägte Nacherzählung vermissen lassen, die von ihm zu erwarten gewesen wäre, wenn er das Geschilderte tatsächlich erlebt hätte. Die diesbezüglichen Darlegungen entbehrten jeglicher Realitätsmerkmale, wie sie von einer Person erwartet werden dürften, welche selbst Erlebtes wiedergebe. Es könne indessen auf eine vertiefte Auseinandersetzung mit den Unglaubhaftigkeitselementen im Sachverhaltsvortrag verzichtet werden. Den Akten seien nämlich keine Anhaltspunkte dafür zu entnehmen, dass der Beschwerdeführer jemals seitens der heimatlichen Behörden oder seitens Dritter asylrelevante Nachteile erlitten habe. Er habe ausschliesslich häusliche Gewalt von Drittpersonen, denen er anvertraut worden sei, geltend gemacht. Solche Vorfälle seien auch in Sri Lanka grundsätzlich strafbar und würden von den Strafverfolgungsbehörden geahndet. So habe das srilankische Parlament im Jahre 2005 ein Gesetz gegen häusliche Gewalt verabschiedet. Die geltend gemachten Ereignisse würden demnach keine Gründe im Sinne von Art. 3 AsylG darstellen.</w:t>
      </w:r>
    </w:p>
    <w:p>
      <w:r>
        <w:rPr>
          <w:b/>
        </w:rPr>
        <w:t>E. 3.2.1</w:t>
      </w:r>
    </w:p>
    <w:p>
      <w:r>
        <w:t>Demgegenüber hielt der Beschwerdeführer in seiner Rechtsmitteleingabe im Wesentlichen fest, aufgrund der frühen Mitgliedschaft seines Vaters bei den H._______ sowie aufgrund der familiären Verstrickungen mit diesen bestehe für ihn eine ernsthafte Verfolgungsgefahr im Sinne einer Reflexverfolgung. Dazu sei ergänzend auf den Fall seiner Mutter zu verweisen. Diese Umstände habe das BFM nicht oder in ungenügender Weise beim Entscheid berücksichtigt. Aufgrund der Gefahr einer Reflexverfolgung sei eine Rückkehr nach Sri Lanka für ihn nicht zumutbar, weshalb ihm eine vorläufige Aufnahme in der Schweiz zu gewähren sei. Da die Möglichkeit bestehe, dass seine Mutter und seine Schwester in der Schweiz vorläufig aufgenommen werden könnten, bestehe die Gefahr der Verletzung des Grundsatzes der Einheit der Familie, falls er nach Sri Lanka zurückkehren müsste. Überdies sei weder ihm noch seiner Mutter diesbezüglich das rechtliche Gehör gewährt worden.</w:t>
      </w:r>
    </w:p>
    <w:p>
      <w:r>
        <w:rPr>
          <w:b/>
        </w:rPr>
        <w:t>E. 3.2.2</w:t>
      </w:r>
    </w:p>
    <w:p>
      <w:r>
        <w:t>In seiner Stellungnahme brachte der Beschwerdeführer ergänzend vor, aus der Anhörung gehe klar hervor, dass er die Vereinigung mit seiner Kernfamilie wünsche und die Trennung denn auch durch die Flucht bedingt sei. Ferner sei zu bestätigen, dass die Familie, bei welcher er in Sri Lanka gewohnt habe, nach E._______ gezogen sei. Aufgrund seiner Ausführungen über die Misshandlungen in F._______ wie auch bei seiner Rückkehr nach Sri Lanka ergebe sich, dass er der Unterstützung durch seine Mutter nach wie vor bedürfe. Zu seinem Vater könne er selber nicht allzu viel angeben und es sei in diesem Punkt auf die Ausführungen im Verfahren seiner Mutter zu verweisen. Hinsichtlich seiner Rechtsvertretung sei darauf hinzuweisen, dass gemäss dem Aktenverzeichnis des BFM keine Vollmacht seines Rechtsvertreters vermerkt sei, auch nicht in den beiden Befragungen. Vor diesem Hintergrund erstaune es, dass der Entscheid seinem Rechtsvertreter eröffnet worden sei, welcher nur zufällig (gleiche N-Nummer wie seine Restfamilie) den Entscheid der Vorinstanz dem Beschwerdeführer habe weiterleiten können. Dass das BFM die Zustellung seines Entscheides auf diese Weise vorgenommen habe, sei insbesondere für die Frage, ob ein Beizug eines Anwaltes erforderlich gewesen sei, mitzuberücksichtigen.</w:t>
      </w:r>
    </w:p>
    <w:p>
      <w:r>
        <w:rPr>
          <w:b/>
        </w:rPr>
        <w:t>E. 4</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in seinem Gesamtbild keine Grundlage entnommen werden, die die Voraussetzungen der Flüchtlingseigenschaft gemäss Art. 3 AsylG erfüllen könnte. Die Entgegnungen in der Rechtsmitteleingabe sowie in der Beschwerdeergänzung vom 18. Oktober 2010 vermögen die angefochtene Verfügung nicht zu entkräften.</w:t>
      </w:r>
    </w:p>
    <w:p>
      <w:r>
        <w:rPr>
          <w:b/>
        </w:rPr>
        <w:t>E. 4.1</w:t>
      </w:r>
    </w:p>
    <w:p>
      <w:r>
        <w:t>Hinsichtlich der gerügten mangelhaften Entscheideröffnung ist festzustellen, dass der Beschwerdeführer im vorinstanzlichen Verfahren nicht durch einen Anwalt vertreten war. Die Mutter des minderjährigen Beschwerdeführers gilt als dessen gesetzliche Vertreterin und sie wurde ihrerseits während ihres vorinstanzlichen Asylverfahrens bereits vom jetzigen Rechtsvertreter des Beschwerdeführers vertreten. Offensichtlich schloss die Vorinstanz aus diesem Umstand, der Beschwerdeführer werde im vorinstanzlichen Verfahren ebenfalls von diesem Rechtsvertreter vertreten, und eröffnete den Asylentscheid dem früheren bevollmächtigten Rechtsvertreter der Mutter des Beschwerdeführers und nicht letzterem selber. Auch wenn festzuhalten ist, dass dieses Vorgehen der Vorinstanz nicht rechtskonform ist - das BFM hätte bei allfälligen Unklarheiten entsprechende Abklärungen vornehmen können -, ist festzustellen, dass dem Beschwerdeführer dadurch kein Rechtsnachteil erwachsen ist (vgl. Art. 38 VwVG), zumal er innerhalb der laufenden Beschwerdefrist eine Beschwerde einreichen konnte und - nach nachträglich gewährter Akteneinsicht durch das BFM - auf Beschwerdeebene die Möglichkeit erhielt, eine nachträgliche Beschwerdeergänzung einzureichen; eine Möglichkeit, von der er mit Einreichung seiner Stellungnahme vom 18. Oktober 2010 denn auch Gebrauch machte. Die in dieser Eingabe aufgeworfene Frage, ob in Zusammenhang mit der Zustellung für den Beschwerdeführer der Beizug eines Anwaltes erforderlich gewesen sei, ist vorliegend irrelevant. Wäre der Rechtsvertreter der Auffassung gewesen, er sei nicht vom Beschwerdeführer mandatiert, hätte er die Verfügung an das BFM zurückschicken können unter Hinweis darauf, er sei nicht der Vertreter des Beschwerdeführers. Die Vorinstanz wäre diesfalls gehalten gewesen, die Verfügung direkt dem Beschwerdeführer zu eröffnen.</w:t>
      </w:r>
    </w:p>
    <w:p>
      <w:r>
        <w:rPr>
          <w:b/>
        </w:rPr>
        <w:t>E. 4.2</w:t>
      </w:r>
    </w:p>
    <w:p>
      <w:r>
        <w:t>Im Weiteren ist die sinngemässe Rüge der Verletzung des Untersuchungsgrundsatzes zu prüfen, da ein allenfalls ungenügend abgeklärter Sachverhalt eine materielle Beurteilung verunmöglichen würde. Der Beschwerdeführer bringt zudem vor, die Vorinstanz habe die aufgrund der Mitgliedschaft seines Vaters zur H._______ und der familiären Verstrickungen mit den H._______ bestehende Verfolgungsgefahr nicht oder nur in ungenügender Weise berücksichtigt, weshalb sinngemäss die Begründungspflicht verletzt sei.</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Asylgründe des Beschwerdeführers sowohl unter dem Blickwinkel von Art. 3 AsylG als auch von Art. 7 AsylG geprüft und gewürdigt hat. Auf Nachfrage anlässlich der direkten Anhörung beim BFM führte der Beschwerdeführer an, er habe alles sagen können und habe keine weiteren Gründe und bestätigte im Folgenden mit seiner Unterschrift - so auch anlässlich der Befragung im C._______ - die Vollständigkeit und Korrektheit des Protokolles (vgl. act. B12/13, S. 10 f.8; act. B1/10, S. 6). Dass der Beschwerdeführer, auch wenn er als Minderjähriger Auskunft zu geben hatte, anlässlich der Befragungen keine vertieften, mit Realkennzeichen versehene Sachverhaltsschilderungen machte, kann vorliegend der Vorinstanz nicht als Unterlassung und damit einhergehend als eine ungenügende Sachverhaltsabklärung angelastet werden, sondern muss er sich selber zu seinen Ungunsten anrechnen lassen. Liefert ein Asylgesuchsteller im Rahmen der durchgeführten Befragungen - wie vorliegend - auch auf Nachfragen lediglich stereotype und oberflächliche Sachverhaltselemente, so ist die Vorinstanz auch im Rahmen des eingeschränkten Untersuchungsgrundsatzes nicht verpflichtet, diese Sachverhaltselemente noch weiter zu vertiefen. Von einer Verletzung des Untersuchungsgrundsatzes im Rahmen einer unrichtigen oder unvollständigen Feststellung des rechtserheblichen Sachverhaltes kann demnach nicht ausgegangen werden. Die Vorinstanz ist ferner nach Würdigung der Parteivorbringen und der aktuellen Situation in der Heimat des Beschwerdeführers zu einem anderen Schluss als dieser gekommen, was noch keine Verletzung des Untersuchungsgrundsatzes darstellt. Dementsprechend drängten sich auch keine weitergehenden Abklärungen des Sachverhaltes auf.</w:t>
      </w:r>
    </w:p>
    <w:p>
      <w:r>
        <w:rPr>
          <w:b/>
        </w:rPr>
        <w:t>E. 4.2.2</w:t>
      </w:r>
    </w:p>
    <w:p>
      <w:r>
        <w:t>Insofern aus dem Vorbringen des Beschwerdeführers, das BFM habe aufgrund der Mitgliedschaft seines Vaters zur H._______ und der familiären Verstrickungen mit den H._______ die bestehende Verfolgungsgefahr nicht oder nur in ungenügender Weise berücksichtigt, die Rüge einer fehlerhaften Anwendung der Bestimmungen im Asylgesetz (Anwendung von Art. 7 AsylG anstatt von Art. 3 AsylG) zu erkennen ist, ist darauf hinzuweisen, dass nach der gesetzlichen Konzeption bei Asylgesuchen die Gesuchsteller verpflichtet sind, die Flüchtlingseigenschaft nachzuweisen oder zumindest glaubhaft zu machen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In casu hat jedoch die Vorinstanz die Asylvorbringen sowohl auf ihre Glaubhaftigkeit als auch auf ihre Asylrelevanz überprüft und diesbezüglich lediglich auf eine vertieftere Prüfung der Unglaubhaftigkeitselemente verzichtet, da die Schilderungen des Beschwerdeführers den Voraussetzungen an die Flüchtlingseigenschaft gemäss Art. 3 AsylG ohnehin nicht genügten.</w:t>
      </w:r>
    </w:p>
    <w:p>
      <w:r>
        <w:rPr>
          <w:b/>
        </w:rPr>
        <w:t>E. 4.2.3</w:t>
      </w:r>
    </w:p>
    <w:p>
      <w:r>
        <w:t>Die Rüge der Verletzung der Untersuchungsgrundsatzes und der Begründungspflicht erweist sich demnach als unbegründet, weshalb der Rückweisungsantrag abzuweisen ist.</w:t>
      </w:r>
    </w:p>
    <w:p>
      <w:r>
        <w:rPr>
          <w:b/>
        </w:rPr>
        <w:t>E. 4.3</w:t>
      </w:r>
    </w:p>
    <w:p>
      <w:r>
        <w:t>Im Zusammenhang mit der Rüge, der Grundsatz der Einheit der Familie sei verletzt, machte der Beschwerdeführer geltend, es bestehe die Gefahr, dass er aufgrund des angeordneten Wegweisungsvollzuges von seiner Mutter und seiner Schwester getrennt würde, falls diese in der Schweiz bleiben könnten. Diesbezüglich sei auch das rechtliche Gehör verletzt worden, weil weder er noch seine Mutter als seine gesetzliche Vertreterin dazu angehört worden sei. Da sich aufgrund der nachfolgenden Erwägungen (siehe E. 6) keine Trennung der Familienmitglieder ergibt, brauchte die Vorinstanz in diesem Zusammenhang das rechtliche Gehör nicht zu gewähren, weshalb keine Gehörsverletzung vorliegt.</w:t>
      </w:r>
    </w:p>
    <w:p>
      <w:r>
        <w:rPr>
          <w:b/>
        </w:rPr>
        <w:t>E. 4.4</w:t>
      </w:r>
    </w:p>
    <w:p>
      <w:r>
        <w:t>In materieller Hinsicht ist anzuführen, dass vorliegend - unbesehen einer Prüfung der Glaubhaftigkeit der Asylvorbringen - die vom Beschwerdeführer angeführten Gründe für das Verlassen seiner Heimat keine Asylrelevanz zu entfalten vermögen. Die Vorinstanz hat im angefochtenen Entscheid zu Recht und mit zutreffender Begründung festgehalten, dass die geltend gemachten Ereignisse (häusliche Gewalt von Drittpersonen, denen er anvertraut worden sei) keine Gründe im Sinne von Art. 3 AsylG darstellen. Die angeführten Ereignisse vermögen zum heutigen Zeitpunkt nicht zu einer objektiv begründeten Furcht vor zukünftiger Verfolgung im Sinne der zu beachtenden Bestimmungen zu führen.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Entscheidungen und Mitteilungen der Schweizerischen Asylrekurskommission [EMARK] 2006 Nr. 18 E. 10.3.2. S. 204; EMARK 1996 Nr. 28 S. 271 f.). Für den Beschwerdeführer ist nach diesen Massstäben hinreichender Schutz durch die heimatlichen Behörden gewährleistet. Nach den Erkenntnissen des Bundesverwaltungsgerichtes funktioniert der srilankische Polizei- und Justizapparat grundsätzlich und ist darauf bedacht, seine Unabhängigkeit zu wahren. Polizeiliche Aufgaben werden wahrgenommen und eine effektive Strafverfolgung wird ermöglicht. Somit sprechen vorliegend keine Gründe dafür, dass in Sri Lanka keine wirksame und funktionierende Infrastruktur zur Schutzgewährung zur Verfügung steht. Zudem ergeben sich aus den Akten keine Hinweise, dass die staatliche Schutzinfrastruktur dem Beschwerdeführer nicht zugänglich wäre und die srilankischen Behörden offensichtlich aus einem Grund nach Art. 3 AsylG nicht willens wären, ihm Schutz vor allfälligen Übergriffen der angeführten Drittpersonen zu gewähren und zu diesem Zweck konkrete und geeignete Massnahmen zu treffen. Es ist demnach davon auszugehen, dass der Beschwerdeführer objektiv Zugang zu den Strafverfolgungsbehörden hat. Dass der Beschwerdeführer den Akten zufolge bislang keine solchen Schritte zu seinem Schutz eingeleitet hat, kann den srilankischen Behörden jedenfalls nicht angelastet werden. Unter diesen Umständen vermögen die geltend gemachten Ereignisse praxisgemäss nicht zur Anerkennung der Flüchtlingseigenschaft und zur Gewährung des Asyls zu führen. Soweit der Beschwerdeführer eine Reflexverfolgung geltend macht, ist vorweg auf die Erwägungen im Urteil seiner Mutter und Schwester - dieses ergeht gleichzeitig wie das vorliegende Urteil - zu verweisen, worin festgehalten wird, dass bei diesen nicht von einer Reflexverfolgung ausgegangen werden könne, da sich die Mutter zu einem Engagement und einer Mitgliedschaft des Ehemannes (und Vaters des Beschwerdeführers) bei den H._______ widersprüchlich geäussert habe, weshalb die dementsprechenden Vorbringen als nachträgliche Anpassungen an einen asylrelevanten Sachverhalt zu qualifizieren seien. Von einer Reflexverfolgung ist ferner auch darum nicht auszugehen, weil der Beschwerdeführerin eigenen Angaben zufolge weder jemals mit den srilankischen Behörden Probleme gehabt habe noch inhaftiert oder vor Gericht gewesen sei (vgl. act. B1/10, S. 6), obwohl seine Mutter im (...) von der Polizei festgenommen, über Nacht auf dem Polizeiposten festgehalten und am nächsten Morgen ohne Auflagen wieder entlassen worden sei (vgl. act. A7/33, S. 11) und sein Vater ab dem Jahre (...) mit den Sicherheitskräften Probleme bekommen haben soll.</w:t>
      </w:r>
    </w:p>
    <w:p>
      <w:r>
        <w:rPr>
          <w:b/>
        </w:rPr>
        <w:t>E. 4.5</w:t>
      </w:r>
    </w:p>
    <w:p>
      <w:r>
        <w:t>Zusammenfassend folgt, dass der Beschwerdeführer die Voraussetzungen zur Zuerkennung der Flüchtlingseigenschaft nicht erfüllt. Die Vorinstanz hat daher das Asylbegehren zu Recht abgelehnt. Es erübrigt sich, auf die weiteren Ausführungen in den Beschwerdeeingaben näher einzugehen, da sie an dieser Würdigung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 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Urteil des Bundesverwaltungsgerichts D- 4125/2006 vom 16. Februar 2010 E. 10.2.3, mit weiteren Hinweisen). Unter diesen Umständen bleibt weiterhin auf individueller Basis zu prüfen, ob für Tamilen im Süden Sri Lankas respektive im Grossraum Colombo eine innerstaatliche Aufenthaltsalternative besteht.</w:t>
      </w:r>
    </w:p>
    <w:p>
      <w:r>
        <w:rPr>
          <w:b/>
        </w:rPr>
        <w:t>E. 6.3.3</w:t>
      </w:r>
    </w:p>
    <w:p>
      <w:r>
        <w:t>Der Beschwerdeführer stammt aus B._______ in der Nordprovinz von Sri Lanka, weshalb eine Rückkehr dorthin angesichts der oben skizzierten Rechtsprechung als nicht zumutbar zu erachten ist.</w:t>
      </w:r>
    </w:p>
    <w:p>
      <w:r>
        <w:rPr>
          <w:b/>
        </w:rPr>
        <w:t>E. 6.3.4</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Diesbezüglich wurde im Urteil der Mutter und Schwester des Beschwerdeführers festgehalten, dass angesichts der als unglaubhaft zu erachtenden Asylvorbringen, der Nachreichung eines gefälschten Identitätsdokumentes und des Umstandes, dass seine Mutter unter falschen Personalien in der Schweiz ein Asylgesuch eingereicht habe, berechtigte Zweifel am angeblich fehlenden tragfähigen Beziehungsnetz und am Nichtbestehen einer längerfristig gesicherten Unterkunft aufkommen liessen. Diese Zweifel sind auch im vorliegenden Verfahren angebracht. So sind den Ausführungen des Beschwerdeführers zu entnehmen, dass er mit seiner Familie als (...), somit bereits im Jahre (...), nach Colombo übersiedelt sein soll (vgl. act. B1/10, S. 1), was sich mit den Angaben seiner Mutter zum Jahr der Übersiedlung nach Colombo ([...]) nicht in Übereinstimmung bringen lässt. Ausserdem divergieren die Schilderungen des Beschwerdeführers zum Zeitpunkt und den Gründen des Verschwindens seines Vaters im Vergleich zu den entsprechenden Angaben seiner Mutter (vgl. act. B1/10, S. 3; act. B12/13, S. 3), was angesichts obiger Ausführungen den Schluss zulässt, dass der Beschwerdeführer - und mithin auch seine nächsten Familienangehörigen - in Colombo respektive im Süden des Landes noch immer über familiäre Beziehungen beziehungsweise über soziale Kontakte verfügen. Es kann daher der Schluss gezogen werden, dass der Beschwerdeführer in der Region Colombo über ein tragfähiges Beziehungsnetz und eine längerfristig gesicherte Unterkunft im Sinne der oben dargelegten Rechtsprechung des Bundesverwaltungsgerichts verfügt, zumal auch die Mutter und Schwester des Beschwerdeführers mit Urteil des Bundesverwaltungsgerichts gleichen Datums die Schweiz zu verlassen haben. Weiter ist zu berücksichtigen, dass der Beschwerdeführer eine gute Schulbildung besitzt und dabei auch von den in der Schweiz gewonnenen Kenntnissen profitieren kann (vgl. act. B1/10, S. 3; Beschwerdeschrift S. 5). Ausserdem verfügt seine Mutter in etlichen Staaten über (...), die ihm und seinen Familienangehörigen zumindest in finanzieller Hinsicht Unterstützung leisten können, soll doch ein in I._______ lebender (...) seiner Mutter bereits bei deren Ausreise geholfen haben (vgl act. A1/9, S. 3). In Anbetracht dieser Umstände ist es dem Beschwerdeführer zuzumuten, in den Grossraum Colombo zurückzukehren und sich dort mit seinen nächsten Familienangehörigen niederzulassen. Es ist zudem im Vergleich zu anderen jugendlichen Asylbewerbern, die sich bereits mehrere Jahre in der Schweiz aufhalten, nicht davon auszugehen, der Beschwerdeführer, der am 1. April 2010 um Asyl ersuchte, sei hier derart integriert, dass er bei einer Rückkehr in sein Heimatland vor unüberwindliche Schwierigkeiten gestellt würde, sich dort wieder zurechtzufinden.</w:t>
      </w:r>
    </w:p>
    <w:p>
      <w:r>
        <w:rPr>
          <w:b/>
        </w:rPr>
        <w:t>E. 6.3.5</w:t>
      </w:r>
    </w:p>
    <w:p>
      <w:r>
        <w:t>Nach dem Gesagten erweist sich der Vollzug der Wegweisung zusammenfassend auch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 Auf die Ausführungen in der Beschwerdeschrift zum Grundsatz der Familieneinheit ist bei dieser Sachlage nicht weiter einzugehen.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kann und von der prozessualen Bedürftigkeit des Beschwerdeführers auszugehen ist. Das Gesuch um Gewährung der unentgeltlichen Prozessführung im Sinne von Art. 65 Abs. 1 VwVG ist daher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