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D-7086/2013 vom 19. Dezember 2013</w:t>
      </w:r>
    </w:p>
    <w:p>
      <w:r>
        <w:t>Bundesverwaltungsgericht, 2013-12-19, DE</w:t>
      </w:r>
    </w:p>
    <w:p>
      <w:r>
        <w:rPr>
          <w:b/>
        </w:rPr>
        <w:t xml:space="preserve">Quelle: </w:t>
      </w:r>
      <w:r>
        <w:t>https://mcp.opencaselaw.ch/entscheid/bvger_D-7086_2013</w:t>
      </w:r>
    </w:p>
    <w:p>
      <w:r>
        <w:t>FR: TAF D-7086/2013 du 19 décembre 2013</w:t>
      </w:r>
    </w:p>
    <w:p>
      <w:r>
        <w:t>IT: TAF D-7086/2013 del 19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i.V.m. Art. 40 und Art. 6a Abs. 2 Bst. a AsylG sowie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 Verfügung damit, dass die Beschwerdeführerin über den Mann, dessentwegen ihre Familie Schwierigkeiten gehabt habe, nichts gewusst habe. Da dieser für all ihre Probleme verantwortlich sei, wäre zu erwarten gewesen, dass sie sich über ihn informiert hätte. Ihr diesbezüglich passives Verhalten vermöge nicht zu überzeugen. Ihre Aussagen über das Kinderheim, in das sie gebracht worden sei, enthielten keinerlei spezielle Informationen, wie sie von jemandem, der das geltend Gemachte erlebt habe, erwartet werden dürften. Eine Heimeinweisung sei ein einschneidendes Erlebnis, weshalb spezifische, auch auf der Gefühlsebene liegende Aussagen hätten erwartet werden dürfen. Die ihr zugefügten Verletzungen, von denen die gezeigten Narben herrührten, hätten ihr auch auf andere als die geltend gemachte Art zugefügt werden können. Sie habe auch über die Situation ihrer Mutter nicht ausführlich Auskunft geben können. Sie habe erklärt, dass sie ihre Mutter nur einmal wöchentlich habe sehen dürfen. Dazu sei festzuhalten, dass sie bei der Heimplatzierung fast 15 Jahre alt gewesen wäre, weshalb sie bei wöchentlichen Treffen mit der Mutter sehr wohl entsprechende Informationen hätte erhalten können. Es wäre für sie sehr wichtig gewesen, zu wissen, wie es ihrer Mutter gehe, wovon sie lebe, was sie gerade mache und was ihre wichtigsten Probleme seien. Ihre Aussage, sie habe nur gewusst, dass die Mutter obdachlos sei, überzeuge nicht.</w:t>
      </w:r>
    </w:p>
    <w:p>
      <w:r>
        <w:rPr>
          <w:b/>
        </w:rPr>
        <w:t>E. 6.1</w:t>
      </w:r>
    </w:p>
    <w:p>
      <w:r>
        <w:t>Das BFM hat an der Sachverhaltsdarstellung der Beschwerdeführerin berechtigterweise Zweifel angebracht. So konnte sie kaum Konkretes zur Person sagen, die Ursache für die Probleme gewesen sei, die ihre Familie nach der Rückkehr nach Kroatien hatte. Sie wusste auch wenig über die Probleme, die ihre Mutter hatte, zu berichten, obwohl sie die ihr am nächsten stehende Person war und sie sich regelmässig mit ihr getroffen habe. Die Mutter der Beschwerdeführerin war zudem nicht in der Lage, Belege für die ihr gegenüber gestellten behördlichen Forderungen und die Einweisung der Beschwerdeführerin in das Kinderheim beizubringen, obwohl sie solche hatte bzw. hätte haben müssen (vgl. N [...] act. B6/12 S. 8). In der Beschwerde wird den vorinstanzlichen Erwägungen nichts Stichhaltiges und Konkretes entgegengehalten, das zu einer anderen Sichtweise führen könnte.</w:t>
      </w:r>
    </w:p>
    <w:p>
      <w:r>
        <w:rPr>
          <w:b/>
        </w:rPr>
        <w:t>E. 6.2</w:t>
      </w:r>
    </w:p>
    <w:p>
      <w:r>
        <w:t>Unbesehen der Frage der Glaubhaftigkeit der Vorbringen der Beschwerdeführerin, ist festzuhalten, dass die von ihr geltend gemachten Übergriffe von anderen Mädchen, die sie im Kinderheim erlitten habe, nicht als ernsthafte Nachteile im Sinne von Art. 3 AsylG gewertet werden könnten. Zudem wurde sie aus dem Kinderheim entlassen, weshalb sie nicht mit weiteren Drangsalierungen seitens der anderen Heimbewohnerinnen zu rechnen hatte. Was ihr Vorbringen anbelangt, sie habe keine Bleibe gehabt, weshalb sie die Schule nicht habe weiter besuchen können, ist - unbesehen der Zweifel die an der geltend gemachten Obdachlosigkeit der Mutter bestehen (vgl. Urteil des Bundesverwaltungsgerichts D-7084/2013 vom heutigen Tag) - davon auszugehen, dass sie sich an die zuständigen Sozialbehörden hätte wenden können, um eine Lösung zu finden, die es ihr ermöglicht hätte, die Schule abzuschliessen.</w:t>
      </w:r>
    </w:p>
    <w:p>
      <w:r>
        <w:rPr>
          <w:b/>
        </w:rPr>
        <w:t>E. 6.3</w:t>
      </w:r>
    </w:p>
    <w:p>
      <w:r>
        <w:t>Den von der Beschwerdeführerin eingereichten Beweismitteln kann nichts entnommen werden, das ihre Vorbringen hinsichtlich der geltend gemachten persönlich erlittenen Benachteiligungen stützen würde. Aufgrund der Beweismittel und weiteren öffentlich zugänglichen Quellen ist als erstellt zu erachten, dass die Lage der serbischen Minderheit in Kroatien von mannigfachen Schwierigkeiten begleitet ist. Trotz Verfassungsbe­stimmungen, die die Rechte der ethnischen Minderheiten schützen, und Aufrufen der kroatischen Regierung zu Toleranz und Versöhnung, bestehen zwischen den Volksgruppen der Kroaten und Serben teilweise auf die Ereignisse während des Bürgerkriegs zurückgehende Ressentiments. Dass die Beschwerdeführerin aufgrund der Tatsache, dass ihr Vater ein ethnischer Serbe ist, teilweise auf Vorbehalte und Abneigung stiess, kann nicht ausgeschlossen werden, hingegen ist aufgrund ihres Alters nicht da­von auszugehen, dass sie von ethnischen Kroaten mit den während des Bürgerkriegs verübten Übergriffen konkret in Zusammenhang gebracht werden könnte.</w:t>
      </w:r>
    </w:p>
    <w:p>
      <w:r>
        <w:rPr>
          <w:b/>
        </w:rPr>
        <w:t>E. 6.4</w:t>
      </w:r>
    </w:p>
    <w:p>
      <w:r>
        <w:t>Zusammenfassend ist festzustellen, dass es der Beschwerdeführerin nicht gelungen ist, eine zum Zeitpunkt ihrer Ausreise aus Kroatien bestehende oder unmittelbar drohende asylrelevante Verfolgung nachzuweisen. Insgesamt erscheinen die von ihr geschilderten Benachteiligungen - soweit sie als glaubhaft zu erachten sind - als zu wenig intensiv um als Verfolgung gemäss Art. 3 AsylG angesehen werden zu können. Das BFM hat ihr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Kroatien ist demnach unter dem Aspekt von Art. 5 AsylG rechtmässig. Sodann ergeben sich weder aus den Aussagen der Beschwerdeführerin noch aus den Akten Anhaltspunkte dafür, dass sie für den Fall einer Ausschaffung nach Kroatien dort mit beachtlicher Wahrscheinlichkeit einer nach Art. 3 EMRK oder Art. 1 FoK verbotenen Strafe oder Behandlung ausgesetzt wäre. Gemäss der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unter Hinweis auf die vorstehen­den Erwägungen zur Glaubhaftigkeit ihrer Vorbringen und der Intensität der Benachteiligungen, denen sie möglicherweise ausgesetzt war, nicht gelungen. Auch die allgemeine Menschenrechtssituation in Kroatien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Kroatien, einem Staat, der vom schweizerischen Bundesrat als "safe country" bezeichnet wurde und der seit dem 1. Juli 2013 Mitglied der Europäischen Union ist, herrscht weder Krieg noch Bürgerkrieg noch eine Situation allgemeiner Gewalt. Der Vollzug der Wegweisung dorthin ist demnach grundsätzlich ohne weiteres zumutbar.</w:t>
      </w:r>
    </w:p>
    <w:p>
      <w:r>
        <w:rPr>
          <w:b/>
        </w:rPr>
        <w:t>E. 8.4.2</w:t>
      </w:r>
    </w:p>
    <w:p>
      <w:r>
        <w:t>Das BFM ist in der angefochtenen Verfügung berechtigterweise davon ausgegangen, dass der Vollzug auch in individueller Hinsicht zumutbar ist. Die Beschwerdeführerin hat in ihrem Heimatland ein verwandtschaftliches Beziehungsnetz und wird zusammen mit ihrer Mutter dorthin zurückkehren können. Es ist davon auszugehen, dass ihr ermöglicht wird die Schule abzuschliessen, was ihr bei der Aufnahme einer weiteren Ausbildung oder einer Arbeitstätigkeit vorteilhaft sein sollte. Es steht ihr offen, bei den heimatlichen Behörden einen Antrag auf Unterstützung zu stellen, sollte sie in der Anfangsphase finanzielle Hilfe benötigen.</w:t>
      </w:r>
    </w:p>
    <w:p>
      <w:r>
        <w:rPr>
          <w:b/>
        </w:rPr>
        <w:t>E. 8.5</w:t>
      </w:r>
    </w:p>
    <w:p>
      <w:r>
        <w:t>Die Beschwerdeführerin ist im Besitz einer kroatischen Identitätskarte. Zudem läge es an ihr, sich bei der zuständigen Vertretung des Heimatstaates die für eine Rückkehr allfällig weiteren,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