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D-7084/2018 vom 1. Februar 2019</w:t>
      </w:r>
    </w:p>
    <w:p>
      <w:r>
        <w:t>Bundesverwaltungsgericht, 2019-02-01, DE</w:t>
      </w:r>
    </w:p>
    <w:p>
      <w:r>
        <w:rPr>
          <w:b/>
        </w:rPr>
        <w:t xml:space="preserve">Quelle: </w:t>
      </w:r>
      <w:r>
        <w:t>https://mcp.opencaselaw.ch/entscheid/bvger_D-7084_2018</w:t>
      </w:r>
    </w:p>
    <w:p>
      <w:r>
        <w:t>FR: TAF D-7084/2018 du 1 février 2019</w:t>
      </w:r>
    </w:p>
    <w:p>
      <w:r>
        <w:t>IT: TAF D-7084/2018 del 1 febbraio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Gestützt auf Art. 111a Abs. 1 AsylG wurde vorliegend auf einen Schriftenwechsel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 Den frauenspezifischen Fluchtgründen ist Rechnung zu tragen (Art. 3 Abs. 2 AsylG).</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Entgegen der sinngemässen Beanstandung durch die Beschwerdeführerin hat die Vorinstanz die Beweisregel von Art. 7 AsylG nicht zu restriktiv gehandhabt. So wird bei eingehender Prüfung der Befragungsprotokolle bald deutlich, dass das SEM zu Recht Ungereimtheiten, einen fehlenden Realitätsbezug und eine unzureichende Substanz in ihren Aussagen festgestellt hat. Die Würdigung dieser Unzulänglichkeiten als Erkennungsmerkmale für die Unglaubhaftigkeit der betreffenden Vorbringen im Sinne von Art. 7 Abs. 3 AsylG ist nicht zu beanstanden. Namentlich bestätigen sich bei einer Konsultation der Protokolle die von der Vorinstanz festgestellten Unstimmigkeiten betreffend die Stationierung im Nationaldienst. Im Gegensatz zur klaren Aussage in der Bundesanhörung, dass sie von 2007 bis 2009 in Massawa stationiert gewesen sei, liess sie in der ergänzenden Anhörung sinngemäss verlauten, sie sei erst 2009 nach Massawa eingeteilt worden. Dieser Widerspruch wird in der Beschwerde trotz darauf Bezug nehmender Einwendungen (vgl. daselbst, S. 5) nicht aufgelöst und lässt sich nicht schlüssig auf ein angebliches Missverständnis zurückführen. Gleichermassen widersprüchlich äusserte sich die Beschwerdeführerin zum angeblichen Gefängnisaufenthalt im Militärlager in D._______. In der Bundesanhörung gab sie zu Protokoll, dass sie während ihrer zehnmonatigen Haftzeit lediglich mit einer Soldatin und einmal mit ihrem Vorgesetzen, der sie habe anfassen wollen, Kontakt gehabt habe, wogegen sie in der ergänzenden Anhörung im Unterschied hierzu erklärte, sie sei wöchentlich zu ihrem Vorgesetzen gebracht und von diesem verhört und geschlagen worden. Der Einwand in der Beschwerde (vgl. daselbst, S. 6), dass die Vorinstanz ihr absichtlich Widersprüche unterstelle, um damit ihre Glaubwürdigkeit zu untergraben, findet in den Akten offensichtlich keine Stütze. Sodann ist mit der Vorinstanz einig zu gehen, dass die Aussagen der Beschwerdeführerin zu der von ihr angeblich erlebten Haft grundsätzlich als substanzarm bezeichnet werden müssen, sie - entgegen der Beschwerde - mithin anlässlich der Befragungen keine vertieften, mit Realkennzeichen versehene Sachverhaltsschilderungen machte. Vor allem blieb sie klar umrissene Aussagen schuldig, durch welche die jeweiligen Interaktionen und ihre eigene Teilnahme am Geschehen wie insbesondere körperliche Befindlichkeiten, psychische Vorgänge sowie spontane Reaktionen auf die angeblich erlittene Gewalteinwirkung widerspiegelt worden wären. Die Tatsache, dass sie in ihrer freien Erzählung zahlreiche Angaben zu den Haftumständen und zu den Misshandlungen gemacht habe, wie in der Beschwerde darauf hingewiesen (vgl. daselbst, S. 7), ist für sich alleine noch kein Indiz für die Glaubhaftigkeit der Vorbringen, zumal sie die notwendige Substanz vermissen lassen. Auch ist mit der Vorinstanz einig zu gehen, dass die Beschwerdeführerin zu ihrer angeblichen Flucht aus dem Militärlager keine konkreten und deckungsgleichen Angaben machte. So liess sie in der Bundesanhörung hierzu verlauten, dass die Soldatin, die sie jeweils zur Toilette begleitet habe, ihr bei der Flucht habe helfen und mit ihr zusammen habe flüchten wollen, wogegen sie in der ergänzenden Anhörung solches verneinte. Zudem lässt die Beschwerdeführerin auch hier - entgegen der Beschwerde (vgl. daselbst, S. 9 f.) - jede persönliche, handlungsbezogene Färbung in der Beschreibung der angeblichen Vorgänge vermissen. Ihre knappen Aussagen vermitteln keine Vorstellung davon, was ihre eigenen Wahrnehmungen waren in Bezug auf die naheliegenden Fragen, ob und wann Wächter ihre Flucht bemerkten, ob und wie der oder die Wächter darauf reagierte(n) und ob sie allfällige Suchbemühungen nach ihrer Person bemerkt hat. Sodann erscheint es in der Tat unrealistisch, dass die Beschwerdeführerin die mehr als (...) Kilometer lange Strecke vom Gefängnislager an die (...) Grenze ohne Verpflegung und zu Fuss hinter sich gebracht haben will, zumal sie zu derartigen Strapazen höchstwahrscheinlich nicht im Stande gewesen wäre, was auch die Vorinstanz zutreffend erkannt hat. Schliesslich geht aus den Aussagen der Beschwerdeführerin hervor, dass die von ihr 2004 in Sawa angeblich erlebte (...) letztlich keine entscheidende Rolle beim Ausreiseentschluss und dessen Umsetzung gespielt haben kann. So gab sie in der ergänzenden Anhörung zu Protokoll, dass sie nach ihrem Aufenthalt in Sawa ihre schulische Ausbildung unbedingt habe fortsetzen wollen, um später einen Studienplatz zu erhalten (vgl. SEM-Akte A28/26, F43/45). Ein genügend enger sachlicher und zeitlicher Kausalzusammenhang zwischen der sich 2004 angeblich zugetragenen (...) und dem Verlassen des Heimatlandes Ende 2014 ist somit nicht ersichtlich, weswegen es diesem Vorbingen - in Übereinstimmung mit der Vorinstanz - an Asylbeachtlichkeit fehlt.</w:t>
      </w:r>
    </w:p>
    <w:p>
      <w:r>
        <w:rPr>
          <w:b/>
        </w:rPr>
        <w:t>E. 4.2</w:t>
      </w:r>
    </w:p>
    <w:p>
      <w:r>
        <w:t>Keine schlüssigen Hinweise auf einen Realitätshintergrund respektive auf Asylbeachtlichkeit der Vorbringen der Beschwerdeführerin lassen sich auch aus den von ihr auf Beschwerdeebene eingereichten Beweismitteln herleiten. So enthalten die im Beschwerdeverfahren als Farbausdrucke eingereichten Fotos ihrer angeblichen Militärdienstzeit keine Hinweise auf den Aufnahmezeitpunkt und erlauben im Lichte der vorstehenden Erwägungen keinen Rückschluss auf die geltend gemachten Asylgründe. Die eingereichte Bestätigung der Gemeinde/Quartier E._______ ist von geringem Beweiswert, zumal es sich nur um einen Farbausdruck handelt. Ohnehin geht daraus lediglich hervor, dass die Beschwerdeführerin Einwohnerin von E._______ sei und 2012 Nationaldienst geleistet habe. Aus dem Dokument ergeben sich aber weder der Ort noch die Dauer des geleisteten Nationaldienstes. Auch der als Farbausdruck eingereichte Brief (inkl. deutscher Übersetzung) der Beschwerdeführerin an das Administrativbüro der Gemeinde E._______, ist, unabhängig von der Frage der Authentizität, nicht geeignet, eine gegen sie gerichtete Verfolgung asylbeachtlichen Ausmasses im Sinne von Art. 3 AsylG zu begründen, geht daraus doch lediglich hervor, dass sie vom Militärdienst aus zu ihrer Mutter und Schwester habe zurückkehren wollen, um diesen zu helfen.</w:t>
      </w:r>
    </w:p>
    <w:p>
      <w:r>
        <w:rPr>
          <w:b/>
        </w:rPr>
        <w:t>E. 4.3</w:t>
      </w:r>
    </w:p>
    <w:p>
      <w:r>
        <w:t>Was die geltend gemachte illegale Ausreise der Beschwerdeführerin aus Eritrea anbelangt, stützt sich die Vorinstanz zutreffend auf das Urteil des Bundesverwaltungsgerichts D-7898/2015 vom 30. Januar 2017 (als Referenzurteil publiziert). Nach diesem bedarf es für die Begründung der Flüchtlingseigenschaft aufgrund subjektiver Nachfluchtgründe im eritreischen Kontext neben der illegalen Ausreise zusätzlicher Anknüpfungspunkte, welche zu einer Verschärfung des Profils und dadurch zu einer flüchtlingsrechtlich relevanten Verfolgungsgefahr führen (E. 5.2). Vorliegend bestehen keine Hinweise darauf, dass - neben der geltend gemachten illegalen Ausreise - zusätzliche Anknüpfungspunkte existieren, welche sie in den Augen der eritreischen Behörden als missliebige Person erscheinen lassen würden.</w:t>
      </w:r>
    </w:p>
    <w:p>
      <w:r>
        <w:rPr>
          <w:b/>
        </w:rPr>
        <w:t>E. 4.4</w:t>
      </w:r>
    </w:p>
    <w:p>
      <w:r>
        <w:t>Die Vorinstanz hat das Vorliegen sowohl von Vorflucht- als auch von Nachfluchtgründen somit zu Recht verneint. Folgerichtig blieb der Beschwerdeführerin die Gewährung des Asyls durch die schweizerischen Behörden versagt (Art. 2 Abs. 1 und Art. 49 AsylG). Die Ablehnung des entsprechenden Gesuchs durch die Vorinstanz ist zu bestätigen. 5.Gemäss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6.2</w:t>
      </w:r>
    </w:p>
    <w:p>
      <w:r>
        <w:t>Bezüglich des Geltendmachens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beurteilt den Wegweisungsvollzug in ihrer angefochtenen Verfügung als zulässig, zumutbar und möglich.</w:t>
      </w:r>
    </w:p>
    <w:p>
      <w:r>
        <w:rPr>
          <w:b/>
        </w:rPr>
        <w:t>E. 7.2</w:t>
      </w:r>
    </w:p>
    <w:p>
      <w:r>
        <w:t>Die Beschwerdeführerin führt in ihrem Rechtsmittel im Wesentlichen aus, der Wegweisungsvollzug sei angesichts der ihr in Eritrea drohenden Einziehung in den Nationaldienst unzulässig. Sie macht insbesondere geltend, der von der Vorinstanz angeordnete Vollzug verletze Art. 3 und 4 Abs. 1 und 2 EMRK. Zudem sei der Wegweisungsvollzug angesichts ihres psychischen Gesundheitszustandes unzumutbar.</w:t>
      </w:r>
    </w:p>
    <w:p>
      <w:r>
        <w:rPr>
          <w:b/>
        </w:rPr>
        <w:t>E. 7.3</w:t>
      </w:r>
    </w:p>
    <w:p>
      <w:r>
        <w:t>Aufgrund des Alters der Beschwerdeführerin bei ihrer Ausreise aus Eritrea erscheint ihre Befürchtung, bei einer Rückkehr in den Nationaldienst eingezogen zu werden, nicht gänzlich als unplausibel (vgl. das Urteil des BVGer D-2311/2016 vom 17. August 2017, E. 13.2-13.4 [als Referenzurteil publiziert]). Die Frage kann aber angesichts nachfolgender Erwägungen offenbleiben.</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8.3</w:t>
      </w:r>
    </w:p>
    <w:p>
      <w:r>
        <w:t>Das flüchtlingsrechtliche Refoulement-Verbot schützt nur Personen, welche die Flüchtlingseigenschaft erfüllen. Da es sich bei der Beschwerdeführerin, wie oben festgestellt, nicht um einen Flüchtling handelt, kann der in Art. 5 AsylG verankerte Grundsatz der Nichtrückschiebung keine Anwendung finden. Eine Rückschaffung der Beschwerdeführerin in den Heimatstaat ist demnach unter dem Aspekt von Art. 5 AsylG rechtmässig. Die Zulässigkeit des Vollzugs beurteilt sich deshalb vielmehr nach den übrigen verfassungs- und völkerrechtlichen Bestimmungen (Art. 25 Abs. 3 BV; Art. 3 des Übereinkommens vom 10. Dezember 1984 gegen Folter und andere grausame, unmenschliche oder erniedrigende Behandlung oder Strafe [FoK, SR 0.105]; Art. 3 und 4 EMRK).</w:t>
      </w:r>
    </w:p>
    <w:p>
      <w:r>
        <w:rPr>
          <w:b/>
        </w:rPr>
        <w:t>E. 8.4</w:t>
      </w:r>
    </w:p>
    <w:p>
      <w:r>
        <w:t>Gemäss dem Koordinationsentscheid des Bundesverwaltungsgerichts E-5022/2017 vom 10. Juli 2018 E. 6.1 insbes. 6.1.6 und E. 6.1.8 stehen das Verbot der Sklaverei und der Leibeigenschaft (Art. 4 Abs. 1 EMRK) dem Vollzug der Wegweisung der Beschwerdeführerin auch bei einer anstehenden Einziehung in den Nationaldienst nicht entgegen. Sodann ist gemäss dem erwähnten Koordinationsentscheid auch nicht davon auszugehen, es bestehe generell das ernsthafte Risiko einer krassen Verletzung des Verbots der Zwangs- und Pflichtarbeit während des Nationaldiensts im Sinne von Art. 4 Abs. 2 EMRK sowie des Verbots von Art. 3 EMRK.</w:t>
      </w:r>
    </w:p>
    <w:p>
      <w:r>
        <w:rPr>
          <w:b/>
        </w:rPr>
        <w:t>E. 8.5</w:t>
      </w:r>
    </w:p>
    <w:p>
      <w:r>
        <w:t>Aus den Akten ergeben sich daher - selbst bei einem Einzug in den Nationaldienst - keine Anhaltspunkte für die Annahme, die Beschwerdeführerin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8.6</w:t>
      </w:r>
    </w:p>
    <w:p>
      <w:r>
        <w:t>Der Vollzug der Wegweisung der Beschwerdeführerin erweist sich damit - sowohl im Sinn der landes- als auch der völkerrechtlichen Bestimmungen - als zulässig. 9.9.1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9.2 Gemäss dem zitierten Koordinationsentscheid (E. 6.2) vermag die bevorstehende Einziehung in den eritreischen Nationaldienst allein nicht zur Annahme einer existenziellen Gefährdung zu führen. 9.3 In seinem Urteil D-2311/2016 vom 17. August 2017 (als Referenzurteil publiziert) hatte sich das Bundesverwaltungsgericht ausführlich mit der Zumutbarkeit des Wegweisungsvollzugs nach Eritrea beschäftigt. Dabei kam es zum Schluss, die frühere Praxis, dass eine Rückkehr nur bei begünstigenden individuellen Umständen zumutbar sei (vgl. Entscheidungen und Mitteilungen der vormaligen Schweizerischen Asylrekurskommission [EMARK] 2005 Nr. 12), sei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 Bei der Beschwerdeführerin handelt es sich um eine junge Frau, mit einem Netz an verwandtschaftlichen Beziehungen in Eritrea (Mutter, Vater, Geschwister; vgl. SEM-Akte A22/17, F6). Zudem verfügt die Beschwerdeführerin über eine 12-jährige Schulbildung (vgl. SEM-Akte A22/17, F36). Ihr nachträgliches Vorbringen, dass ihre Mutter wegen eines Brandes ihre Arbeitsstelle verloren habe und die Familie deswegen zwischenzeitlich in einen finanziellen Engpass geraten sei, muss als unbelegte Parteibehauptung gewertet werden. Besondere individuelle Umstände, aufgrund derer bei einer Rückkehr nach Eritrea von einer existenziellen Bedrohung ausgegangen werden müsste, sind den Akten nicht zu entnehmen. An dieser Einschätzung vermag auch die psychische Situation der Beschwerdeführerin nichts zu ändern. Gemäss dem eingereichten (...) der (...) vom 11. Dezember 2017 wurde bei der Beschwerdeführerin der Verdacht auf eine (...) diagnostiziert. Unter Beachtung der gestellten Diagnosen gelangt das Gericht vorliegend zum Schluss, dass einer Überstellung der Beschwerdeführerin nach Eritrea kein Wegweisungsvollzugshindernis entgegensteht. Aus dem vorhandenen medizinischen Bericht geht nämlich nicht das Bild hervor, dass die Beschwerdeführerin in Zukunft auf eine engmaschige psychiatrische und medizinische Betreuung angewiesen wäre. Der ärztliche Bericht hält denn auch ausdrücklich fest, dass kein Anlass für «Eigen- oder Fremdgefährdung» bestehe und die Beschwerdeführerin Suizidalität «glaubhaft verneint» habe. Die Fortsetzung der Behandlung erfolgt - soweit ersichtlich - rein medikamentös. Aus den vorliegend diagnostizierten Beeinträchtigungen kann nicht geschlossen werden, dass die Beschwerdeführerin bei einer Rückkehr mangels einer notwendigen medizinischen Behandlung einer akuten Lebensgefahr ausgesetzt wäre. Zudem bestehen in Eritrea gewisse Möglichkeiten, psychische Erkrankungen zu behandeln; namentlich gibt es in Asmara eine Psychiatrie, in der die Beschwerdeführerin bereits (...) hospitalisiert war (vgl. SEM-Akte A22/17, F58/59). Es ist zwar auch anzumerken, dass der Zugang zu psychiatrischer Behandlung mangels ausreichenden Fachpersonals erschwert ist (vgl. European Asylum Support Office, EASO-Bericht über Herkunftsländer-Informationen, Länderfokus Eritrea, Mai 2015). Massgebend ist allerdings nicht, ob die medizinische Versorgung im Heimatstaat den in der Schweiz vorhandenen Standards entspricht. Die Beschwerdeführerin hat auch die Möglichkeit, einen Medikamentenstock aus der Schweiz mitzunehmen, welcher zur Überbrückung in der Anfangszeit ausreichen sollte. Ergänzend kann sodann auf die Möglichkeit der medizinischen Rückkehrhilfe verwiesen werden (Art. 93 Abs. 1 Bst. c AsylG und Art. 73 ff., insbesondere Art. 75 der Asylverordnung 2 über Finanzierungsfragen vom 11. August 1999 [SR 142.312]). Ausgehend von den weiterhin intakten Familienverhältnissen und der zu erwartenden Übernahme von Verantwortung und Sorge durch die Kernfamilie und weiteren Verwandten geht das Gericht davon aus, dass trotz der diversen Ängste und psychischen Beschwerden kein Vollzugshindernis vorliegt. Aus der bestehenden Aktenlage lassen sich somit keine medizinischen Gründe ableiten, welche gegen die Zumutbarkeit des Wegweisungsvollzugs sprechen würden. 9.4 Nach dem Gesagten erweist sich der Vollzug der Wegweisung nicht als unzumutbar im Sinn von Art. 83 Abs. 4 AIG. 10.Schliesslich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 Dass zurzeit eine zwangsweise Rückschaffung nach Eritrea nicht zu Gebote steht, steht der Feststellung der Möglichkeit des Vollzugs nicht entgegen, zumal eine freiwillige Rückkehr möglich ist. 11.Zusammenfassend ist festzustellen, dass die Vorinstanz den Wegweisungsvollzug zu Recht als zulässig, zumutbar und möglich qualifiziert hat. Die Anordnung der vorläufigen Aufnahme fällt somit ausser Betracht (Art. 83 Abs. 1-4 AIG). 12.Aus diesen Erwägungen ergibt sich, dass die angefochtene Verfügung Bundesrecht nicht verletzt, den rechtserheblichen Sachverhalt richtig sowie vollständig feststellt (Art. 106 Abs. 1 AsylG) und angemessen ist. Die Beschwerde ist abzuweisen.</w:t>
      </w:r>
    </w:p>
    <w:p>
      <w:r>
        <w:rPr>
          <w:b/>
        </w:rPr>
        <w:t>E. 13</w:t>
      </w:r>
    </w:p>
    <w:p>
      <w:r>
        <w:t>Bei diesem Ausgang des Verfahrens wären die Kosten den Beschwerdeführenden aufzuerlegen (Art. 63 Abs. 1 VwVG; Art. 1-3 des Reglements vom 21. Februar 2008 über die Kosten und Entschädigungen vor dem Bundesverwaltungsgericht [VGKE, SR 173.320.2]). Da ihre Rechtsbegehren jedoch nicht als aussichtslos betrachtet werden können und ihre Bedürftigkeit ausgewiesen ist, ist das Gesuch um Gewährung der unentgeltlichen Prozessführung gemäss Art. 65 Abs. 1 VwVG gutzuheissen. Das Gesuch um Verzicht auf die Erhebung eines Kostenvorschusses ist mit vorliegendem Urteil gegenstandslos geworden. Nachdem die Beschwerdeführerin die rechtsgenügliche Beschwerdeschrift offenbar selbst verfasst hat, damit ihr Recht auf eine wirksame Beschwerde gewahrt wurde und sich weitere Instruktionsmassnahmen nicht aufdrängen, würde die Einsetzung eines amtlichen Rechtsbeistands (Art. 110a Abs. 1 AsylG) einen prozessualen Leerlauf darstellen, weshalb der diesbezügliche Antrag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