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D-7084/2013 vom 19. Dezember 2013</w:t>
      </w:r>
    </w:p>
    <w:p>
      <w:r>
        <w:t>Bundesverwaltungsgericht, 2013-12-19, DE</w:t>
      </w:r>
    </w:p>
    <w:p>
      <w:r>
        <w:rPr>
          <w:b/>
        </w:rPr>
        <w:t xml:space="preserve">Quelle: </w:t>
      </w:r>
      <w:r>
        <w:t>https://mcp.opencaselaw.ch/entscheid/bvger_D-7084_2013</w:t>
      </w:r>
    </w:p>
    <w:p>
      <w:r>
        <w:t>FR: TAF D-7084/2013 du 19 décembre 2013</w:t>
      </w:r>
    </w:p>
    <w:p>
      <w:r>
        <w:t>IT: TAF D-7084/2013 del 19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i.V.m. Art. 40 und Art. 6a Abs. 2 Bst. a AsylG, sowie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Entscheid damit, dass die Vorbringen der Beschwerdeführerin unglaubhaft seien. Sie habe über den Verwandten ihres Ehemannes, der Grund für die Probleme der Familie gewesen sei, nur wenig sagen können. Sie habe auf das Internet verwiesen, in dem man alles nachlesen könne. Es hätte aber erwartet werden dürfen, dass sie sich über die Person, wegen der sie jahrelang schikaniert worden sei, erkundigt hätte. Es erstaune nicht, dass ihre Aussagen in diesem Punkt von denjenigen ihres Ehemannes abwichen, der gesagt habe, er habe Kroatien in Zusammenhang mit Problemen verlassen, die er wegen eines Unteroffiziers - und nicht wegen eines Verwandten mit demselben Familiennamen - gehabt habe. Sie habe auch die Umstände, die zu den Problemen wegen der nicht bezahlten Steuern geführt hätten, trotz mehr­maliger Nachfrage nicht detailliert schildern können. Zudem habe sie keine entsprechende Verfügung zu den Akten gegeben und lediglich erklärt, sie habe keine neue Verfügung erhalten. Auch die genauen Umstände der Heimplatzierung ihrer Tochter habe sie nicht aussagekräftig beschreiben können. So habe sie unterschiedliche Angaben zum Zeitpunkt der Einweisung gemacht und erklärt, das Kinderheim habe keinen Namen. Die genaue Adresse habe sie ebenso wenig nennen können. Von einer Person, deren Tochter in ein Kinderheim eingewiesen werde, dürften aber Aussagen über das Geschehen erwartet werden, da es sich bei einer Fremdplatzierung um ein einschneidendes Erlebnis handle. Auch diesbezüglich habe sie keine Verfügung zu den Akten gereicht. Auf Nachfrage habe sie gesagt, wahrscheinlich befinde sich diese bei Freunden. In Kroatien lebten mehrere Verwandte der Beschwerdeführerin und ihr Ex-Ehemann und ihre Tochter müssten die Schweiz ebenso verlassen. Sie verfüge über eine Ausbildung als (...), was ihr bei einer Rückkehr zugutekommen werde.</w:t>
      </w:r>
    </w:p>
    <w:p>
      <w:r>
        <w:rPr>
          <w:b/>
        </w:rPr>
        <w:t>E. 5.2</w:t>
      </w:r>
    </w:p>
    <w:p>
      <w:r>
        <w:t>In der Beschwerde wird geltend gemacht, die Beschwerdeführerin ha­be nach ihrer Rückkehr nach Kroatien im Jahr 2007 kein menschenwürdi­ges Leben führen können. Aufgrund der in der Befragung geschilderten Probleme sie ihre Familie zerbrochen. Zum Beweis der in Kroatien herrschenden Verhältnisse habe sie zwei CDs beigelegt. In den Reportagen werde das Bild eines Kroatien gezeigt, in dem die Leute einen grossen Hass hegten. Es sei sehr schwer gewesen, dort mit dem Namen E._______ zu leben.</w:t>
      </w:r>
    </w:p>
    <w:p>
      <w:r>
        <w:rPr>
          <w:b/>
        </w:rPr>
        <w:t>E. 6.1</w:t>
      </w:r>
    </w:p>
    <w:p>
      <w:r>
        <w:t>Das BFM hat an der Sachverhaltsdarstellung der Beschwerdeführerin berechtigterweise Zweifel angebracht. So konnte sie kaum Konkretes zur Person sagen, die Ursache für die Probleme gewesen sei, die ihre Familie nach der Rückkehr nach Kroatien hatte. Ihre Angaben stehen denn auch teilweise nicht in Übereinstimmung mit den Aussagen ihres Ex-Ehe­mannes (vgl. Urteil des Bundesverwaltungsgerichts D-8262/2007 vom 16. November 2010), der nicht geltend machte, wegen eines Verwandten Probleme gehabt zu haben. Das BFM wies zu Recht darauf hin, dass die Aussagen der Beschwerdeführerin zur Angelegenheit mit den Steuerbehörden, die Nachforderungen stellten, und der Einweisung ihrer Tochter in ein Kinderheim ausweichend und nicht überzeugend waren. So machte sie nicht übereinstimmende Angaben zum Zeitpunkt der Heimeinweisung und war nicht in der Lage, den Namen des Kinderheimes und die genaue Adresse zu nennen, obwohl ihre Tochter mehrere Jahre lang dort untergebracht gewesen sei. Sie konnte auch ihr Leben, das sie nach dem geltend gemachten Verlust der Wohnung geführt habe, kaum anschaulich schildern. Obwohl sie Belege für die behördlichen Forderungen und die Einweisung ihrer Tochter in das Kinderheim hat bzw. hätte haben müssen (vgl. act. B6/12 S. 8), gab sie nichts zu den Akten und bemühte sich offenbar auch nicht, in den Besitz der entsprechenden Dokumente zu gelangen. In der Beschwerde wird den vorinstanzlichen Erwägungen nichts Stichhaltiges und Konkretes entgegengehalten, das zu einer anderen Sichtweise führen könnte.</w:t>
      </w:r>
    </w:p>
    <w:p>
      <w:r>
        <w:rPr>
          <w:b/>
        </w:rPr>
        <w:t>E. 6.2</w:t>
      </w:r>
    </w:p>
    <w:p>
      <w:r>
        <w:t>Unbesehen der Frage der Glaubhaftigkeit der Vorbringen der Beschwerdeführerin, ist festzuhalten, dass sie sich gegen aus ihrer Sicht un­berechtigte Forderungen der Zoll- und der Steuerbehörden und auch gegen eine Einweisung ihrer Tochter in ein Kinderheim auf dem Rechtsweg hätte zur Wehr setzen können. Ihr Hinweis, sie habe kein Geld für einen Anwalt gehabt, vermag in diesem Zusammenhang nicht zu überzeugen, da es auch in Kroatien Organisationen gibt, die sie zumindest hätten beraten und beim Einreichen von Beschwerden hätten unterstützen können.</w:t>
      </w:r>
    </w:p>
    <w:p>
      <w:r>
        <w:rPr>
          <w:b/>
        </w:rPr>
        <w:t>E. 6.3</w:t>
      </w:r>
    </w:p>
    <w:p>
      <w:r>
        <w:t>Den von der Beschwerdeführerin eingereichten Beweismitteln kann nichts entnommen werden, das ihre Vorbringen hinsichtlich der geltend gemachten persönlich erlittenen Benachteiligungen stützen würde. Aufgrund der Beweismittel und weiteren öffentlich zugänglichen Quellen ist als erstellt zu erachten, dass die Lage der serbischen Minderheit in Kroatien von mannigfachen Schwierigkeiten begleitet ist. Trotz Verfassungsbestimmungen, die die Rechte der ethnischen Minderheiten schützen, und Aufrufen der kroatischen Regierung zu Toleranz und Versöhnung, bestehen zwischen den Volksgruppen der Kroaten und Serben teilweise auf die Ereignisse während des Bürgerkriegs zurückgehende Ressentiments. Dass die Beschwerdeführerin aufgrund der Tatsache, dass sie mit einem ethnischen Serben verheiratet war, teilweise auf Vorbehalte und Abneigung stiess, kann nicht ausgeschlossen werden, hingegen ist sie selbst Kroatin und gehört somit der Mehrheitsethnie an.</w:t>
      </w:r>
    </w:p>
    <w:p>
      <w:r>
        <w:rPr>
          <w:b/>
        </w:rPr>
        <w:t>E. 6.4</w:t>
      </w:r>
    </w:p>
    <w:p>
      <w:r>
        <w:t>Zusammenfassend ist festzustellen, dass es der Beschwerdeführerin nicht gelungen ist, eine zum Zeitpunkt ihrer Ausreise aus Kroatien bestehende oder unmittelbar drohende asylrelevante Verfolgung nachzuweisen. Insgesamt erscheinen die von ihr geschilderten Benachteiligungen - soweit sie als glaubhaft zu erachten sind - als zu wenig intensiv um als Verfolgung gemäss Art. 3 AsylG angesehen werden zu können. Das BFM hat ihr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Kroatien ist demnach unter dem Aspekt von Art. 5 AsylG rechtmässig. Sodann ergeben sich weder aus den Aussagen der Beschwerdeführerin noch aus den Akten Anhaltspunkte dafür, dass sie für den Fall einer Ausschaffung in den nach Kroatien dort mit beachtlicher Wahrscheinlichkeit einer nach Art. 3 EMRK oder Art. 1 FoK verbotenen Strafe oder Behandlung ausgesetzt wäre. Gemäss der Praxis des Europäischen Gerichtshofes für Menschenrechte (EGMR) sowie jener des UN-Anti-Folteraus­schus­ses müsste sie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unter Hin­weis auf die vorstehenden Erwägungen zur Glaubhaftigkeit ihrer Vorbringen und der Intensität der Benachteiligungen, denen sie möglicherweise ausgesetzt war, nicht gelungen. Auch die allgemeine Menschenrechtssituation in Kroatien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Kroatien, einem Staat, der vom schweizerischen Bundesrat als "safe country" bezeichnet wurde und der seit dem 1. Juli 2013 Mitglied der Europäischen Union ist, herrscht weder Krieg noch Bürgerkrieg noch eine Situation allgemeiner Gewalt. Der Vollzug der Wegweisung dorthin ist demnach grundsätzlich ohne weiteres zumutbar.</w:t>
      </w:r>
    </w:p>
    <w:p>
      <w:r>
        <w:rPr>
          <w:b/>
        </w:rPr>
        <w:t>E. 8.4.2</w:t>
      </w:r>
    </w:p>
    <w:p>
      <w:r>
        <w:t>Das BFM ist in der angefochtenen Verfügung berechtigterweise davon ausgegangen, dass der Vollzug auch in individueller Hinsicht zumutbar ist. Die Beschwerdeführerin hat in ihrem Heimatland ein verwandtschaftliches Beziehungsnetz und verfügt über eine Berufsausbildung, die bei der Arbeitssuche vorteilhaft sein sollte. Es steht ihr offen, bei den heimatlichen Behörden einen Antrag auf Unterstützung zu stellen, sollte sie in der Anfangsphase finanzielle Hilfe benötigen. Zudem steht es ihr aufgrund der Personenfreizügigkeit offen, sich in einem der Länder der Euro­päischen Union eine Arbeitsstelle zu suchen und einen Neuanfang zu machen, sollte sie sich in Kroatien weiterhin benachteiligt fühlen und nicht längerfristig dort verbleiben wollen.</w:t>
      </w:r>
    </w:p>
    <w:p>
      <w:r>
        <w:rPr>
          <w:b/>
        </w:rPr>
        <w:t>E. 8.5</w:t>
      </w:r>
    </w:p>
    <w:p>
      <w:r>
        <w:t>Die Beschwerdeführerin ist im Besitz einer kroatischen Identitätskarte. Zudem läge es an ihr, sich bei der zuständigen Vertretung des Heimatstaates die für eine Rückkehr allfällig weiteren,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