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D-706/2020 vom 23. Juli 2020</w:t>
      </w:r>
    </w:p>
    <w:p>
      <w:r>
        <w:t>Bundesverwaltungsgericht, 2020-07-23, DE</w:t>
      </w:r>
    </w:p>
    <w:p>
      <w:r>
        <w:rPr>
          <w:b/>
        </w:rPr>
        <w:t xml:space="preserve">Quelle: </w:t>
      </w:r>
      <w:r>
        <w:t>https://mcp.opencaselaw.ch/entscheid/bvger_D-706_2020</w:t>
      </w:r>
    </w:p>
    <w:p>
      <w:r>
        <w:t>FR: TAF D-706/2020 du 23 juillet 2020</w:t>
      </w:r>
    </w:p>
    <w:p>
      <w:r>
        <w:t>IT: TAF D-706/2020 del 23 luglio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Die Beschwerde ist aufgrund der vorliegenden Aktenlage - wie nachfolgend aufgezeigt - als offensichtlich begründet zu erkennen, weshalb über diese in einzelrichterlicher Zuständigkeit mit Zustimmung eines zweiten Richters beziehungsweise einer zweiten Richterin zu entscheiden ist (Art. 111 Bst. e AsylG). Der Entscheid ist deshalb nur summarisch zu begründen (Art. 111a Abs. 2 AsylG). Gestützt auf Art. 111a Abs. 1 AsylG wurde auf einen Schriftenwechsel verzichtet.</w:t>
      </w:r>
    </w:p>
    <w:p>
      <w:r>
        <w:rPr>
          <w:b/>
        </w:rPr>
        <w:t>E. 2</w:t>
      </w:r>
    </w:p>
    <w:p>
      <w:r>
        <w:t>Die Kognition des Bundesverwaltungsgerichts und die zulässigen Rügen richten sich im Asylbereich nach Art. 106 Abs. 1 AsylG.</w:t>
      </w:r>
    </w:p>
    <w:p>
      <w:r>
        <w:rPr>
          <w:b/>
        </w:rPr>
        <w:t>E. 3</w:t>
      </w:r>
    </w:p>
    <w:p>
      <w:r>
        <w:t>Das SEM hielt in der angefochtenen Verfügung fest, dass die Beschwerdeführerin unter Verletzung ihrer Mitwirkungspflicht im Asylverfahren sowohl eine Prüfung der Drittstaatenklausel als auch die Prüfung der Flüchtlingseigenschaft in Bezug auf ihren effektiven Heimatstaat verunmöglicht habe. Dies habe zur Folge, dass im Verfahren nach Art. 51 Abs. 1 AsylG die Frage, ob sie ihre familiären Beziehungen in ihrem Heimatstaat oder einem Drittstaat leben könne und damit besondere Umstände einem Einbezug entgegenstünden, nicht geklärt werden könne. Die Rechtsfolge davon sei die Ablehnung ihres Asylgesuchs wegen Verunmöglichung der Prüfung, ob die Einbezugsvoraussetzungen gegeben seien.</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Das Kriterium der «besonderen Umstände» dient gemäss ständiger Praxis insbesondere dem Zweck, Missbräuche zu verhindern (vgl. Urteil des BVGer E-1683/2013 vom 21. April 2015 E. 6.2.2 m.w.H.). In der Rechtsprechung des Bundesverwaltungsgerichts wurde in verschiedenen Konstellationen das Vorliegen von besonderen Umständen bejaht. So ist ein Einbezug in die Flüchtlingseigenschaft namentlich dann ausgeschlossen, wenn die in der Schweiz als Flüchtling anerkannte Person ihre Flüchtlingseigenschaft selbst derivativ erworben hat, wenn die eheliche Gemeinschaft während einer längeren Zeit nicht mehr gelebt beziehungsweise aufgegeben wurde oder wenn die in die Flüchtlingseigenschaft einzubeziehende Person eine andere Staatsangehörigkeit besitzt als die als Flüchtling anerkannte Person und es der Familie an sich zumutbar und möglich wäre, statt in der Schweiz auch in diesem anderen Land zu leben (vgl. BVGE 2012/32 E. 5.1). Soll der Einbezug in die Flüchtlingseigenschaft des Ehepartners aufgrund unterschiedlicher Nationalitäten verweigert werden, ist - in hypothetischer Weise - zu prüfen, ob sich die ganze Familie gegebenenfalls im Heimatland des nicht verfolgten Ehepartners niederlassen könnte (vgl. Urteil des BVGer E-1683/2013 vom 21. April 2015 E. 6.2.4 m.w.H.).</w:t>
      </w:r>
    </w:p>
    <w:p>
      <w:r>
        <w:rPr>
          <w:b/>
        </w:rPr>
        <w:t>E. 4.2</w:t>
      </w:r>
    </w:p>
    <w:p>
      <w:r>
        <w:t>Das Bundesverwaltungsgericht hat in seinem kürzlich ergangenen Urteil E-1813/2019 vom 1. Juli 2020 (zur Publikation vorgesehen) festgehalten, dass ein «besonderer Umstand» im Sinne des Art. 51 Abs. 1 AsylG vorliege, wenn dem SEM die Prüfung des Vorliegens einer weiteren Staatsangehörigkeit verunmöglicht werde, weil die gesuchstellende Person im Rahmen des Verfahrens betreffend Familienasyl eine schwere Mitwirkungspflichtverletzung begangen habe (vgl. a.a.O. E. 9.10). In einem solchen Verfahren treffe die gesuchstellende Person eine qualifizierte Mitwirkungspflicht, deren Verletzung nicht zu einer Besserstellung gegenüber einer Person führen dürfe, welche ihrer diesbezüglichen Pflicht nachgekommen sei (vgl. a.a.O. E. 9.6). Es stehe der gesuchstellenden Person frei, im Verfahren um Familienasyl aktiv mitzuwirken und anhand neuer konkreter Anhaltspunkte den Anschein einer Mitwirkungspflichtverletzung auszuräumen oder wesentliche Tatsachen hinsichtlich ihrer tatsächlichen Herkunft offenzulegen, wobei in diesem Fall nicht von «besonderen Umständen» im Sinne von Art. 51 Abs. 1 AsylG auszugehen sei (vgl. a.a.O. E. 9.7 f.). Umgekehrt sei bei einer schwerwiegenden Mitwirkungspflichtverletzung weder die chinesische Staatsangehörigkeit noch das Fehlen einer anderen Staatsangehörigkeit glaubhaft gemacht. Auch wenn die Möglichkeit einer chinesischen Staatsangehörigkeit nicht ausgeschlossen sei, obliege es der gesuchstellenden Person, ihre angebliche Staatsangehörigkeit beziehungsweise das Fehlen des Erwerbs einer neuen Staatsangehörigkeit glaubhaft zu machen. Es sei nicht Sache des SEM, den Gegenbeweis zu erbringen, dass die gesuchstellende Person eine andere als die chinesische Staatsangehörigkeit besitze (vgl. a.a.O. E. 9.9).</w:t>
      </w:r>
    </w:p>
    <w:p>
      <w:r>
        <w:rPr>
          <w:b/>
        </w:rPr>
        <w:t>E. 4.3</w:t>
      </w:r>
    </w:p>
    <w:p>
      <w:r>
        <w:t>Sodann erwog das Bundesverwaltungsgericht, dass das SEM einer antragstellenden Person im Verfahren um Familienasyl eine Mitwirkungspflichtverletzung, welche dieser Person bereits im einem vorgängigen (abgeschlossenen) ordentlichen Asylverfahren vorgeworfen worden sei, vorhalten dürfe, wenn sich die Person im Rahmen eines rechtlichen Gehörs zur beabsichtigten Würdigung der sich aus dem ersten Verfahren ergebenden Sachverhaltselemente und Beweismittel erneut habe äussern können und wenn sie über die Konsequenzen einer Mitwirkungspflichtverletzung in Bezug auf den Entscheid zum Familienasyl informiert worden sei (vgl. a.a.O. E. 8.3.5).</w:t>
      </w:r>
    </w:p>
    <w:p>
      <w:r>
        <w:rPr>
          <w:b/>
        </w:rPr>
        <w:t>E. 5</w:t>
      </w:r>
    </w:p>
    <w:p>
      <w:r>
        <w:t>Angesichts dieser Feststellungen ist das SEM somit gehalten, der Beschwerdeführerin das rechtliche Gehör zur beabsichtigten Würdigung der sich aus dem ersten Verfahren ergebenden Sachverhaltselemente und Beweismittel sowie zu den Konsequenzen einer Mitwirkungspflichtverletzung in Bezug auf den Entscheid zum Familienasyl zu gewähren. Die Verfügung ist demnach zu kassieren, nachdem es an der Gewährung des rechtlichen Gehörs ebenso wie an einer diesbezüglichen Neubeurteilung fehlt.</w:t>
      </w:r>
    </w:p>
    <w:p>
      <w:r>
        <w:rPr>
          <w:b/>
        </w:rPr>
        <w:t>E. 6</w:t>
      </w:r>
    </w:p>
    <w:p>
      <w:r>
        <w:t>Nach dem Gesagten ist die Beschwerde gutzuheissen, soweit die Aufhebung der angefochtenen Verfügung beantragt wird. Die vorinstanzliche Verfügung ist aufzuheben und die Sache zur vollständigen und richtigen Sachverhaltsermittlung respektive zur Gewährung des rechtlichen Gehörs und zur Neubeurteilung im Sinne der Erwägungen an die Vorinstanz zurückzuweisen. Bei dieser Sachlage muss nicht weiter darauf eingegangen werden, dass Dispositivziffer 2 der angefochtenen Verfügung vom 28. Januar 2020 unzutreffend ist.</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hat am 6. Februar 2020 ihre Kostennote zu den Akten gereicht. Der geltend gemachte zeitliche Aufwand von 5 Stunden erscheint angemessen. Der veranschlagte Stundensatz von Fr. 180.- entspricht Art. 10 Abs. 2 VGKE. Die Spesenpauschale (Fr. 50.-) kann praxisgemäss nicht vergütet werden. Das Honorar der Rechtsvertreterin der Beschwerdeführerin beläuft sich somit auf Fr. 963.- (inkl. Mehrwertsteuerzuschlag) und entspricht damit den zu ersetzenden Vertretungsaufwand der Beschwerdeführerin. Die Vorinstanz wird angewiesen, der Beschwerdeführerin eine Parteientschädigung in genannter Höhe auszurichten.</w:t>
      </w:r>
    </w:p>
    <w:p>
      <w:r>
        <w:rPr>
          <w:b/>
        </w:rPr>
        <w:t>E. 7.3</w:t>
      </w:r>
    </w:p>
    <w:p>
      <w:r>
        <w:t>Die Gesuche um Gewährung der unentgeltlichen Prozessführung und um Bestellung eines amtlichen Rechtsbeistands sowie um Verzicht auf die Erhebung eines Kostenvorschusses werden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