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D-7067/2017 vom 19. November 2018</w:t>
      </w:r>
    </w:p>
    <w:p>
      <w:r>
        <w:t>Bundesverwaltungsgericht, 2018-11-19, IT</w:t>
      </w:r>
    </w:p>
    <w:p>
      <w:r>
        <w:rPr>
          <w:b/>
        </w:rPr>
        <w:t xml:space="preserve">Quelle: </w:t>
      </w:r>
      <w:r>
        <w:t>https://mcp.opencaselaw.ch/entscheid/bvger_D-7067_2017</w:t>
      </w:r>
    </w:p>
    <w:p>
      <w:r>
        <w:t>FR: TAF D-7067/2017 du 19 novembre 2018</w:t>
      </w:r>
    </w:p>
    <w:p>
      <w:r>
        <w:t>IT: TAF D-7067/2017 del 19 novembre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3.2</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In tal senso, occorre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asilo (cfr. DTAF 2010/57 consid. 4.1.3 e sentenza del Tribunale D-4120/2014 del 31 maggio 2016 consid. 5.3.1).</w:t>
      </w:r>
    </w:p>
    <w:p>
      <w:r>
        <w:rPr>
          <w:b/>
        </w:rPr>
        <w:t>E. 4.1</w:t>
      </w:r>
    </w:p>
    <w:p>
      <w:r>
        <w:t>Nella querelata decisione, l'autorità di prima istanza ha considerato inverosimili buona parte delle allegazioni di A._______. La SEM, ha segnatamente rilevato che nonostante la richiedente asilo abbia asserito che il marito avrebbe rilasciato dichiarazioni in diversi video reperibili in rete, ella non sarebbe stata in misura di mostrarli all'auditrice né tantomeno di accedere al proprio profilo Facebook. Non di meno, neanche B._______ sarebbe stata in misura di mostrare dei video nei quali il padre criticava il governo.</w:t>
      </w:r>
    </w:p>
    <w:p>
      <w:r>
        <w:rPr>
          <w:b/>
        </w:rPr>
        <w:t>E. 4.2</w:t>
      </w:r>
    </w:p>
    <w:p>
      <w:r>
        <w:t>In sede ricorsuale, le ricorrenti, che avversano la valutazione dell'autorità di prime cure anche su tale aspetto, indicano diversi link che farebbero riferimento alle attività del marito e forniscono il nominativo Facebook di quest'ultimo.</w:t>
      </w:r>
    </w:p>
    <w:p>
      <w:r>
        <w:rPr>
          <w:b/>
        </w:rPr>
        <w:t>E. 4.3</w:t>
      </w:r>
    </w:p>
    <w:p>
      <w:r>
        <w:t>Nella propria risposta, l'autorità intimata si è limitata a riconfermarsi nella propria posizione senza esporre alcuna valutazione circa i link succitati ed il profilo Facebook.</w:t>
      </w:r>
    </w:p>
    <w:p>
      <w:r>
        <w:rPr>
          <w:b/>
        </w:rPr>
        <w:t>E. 5.1</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5.2</w:t>
      </w:r>
    </w:p>
    <w:p>
      <w:r>
        <w:t>Dal canto suo, il TAF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annullata ed il caso retrocesso all'autorità di prima istanza, di modo che questa possa procedere ad un nuovo e completo accertamento dei fatti (cfr. Moser/Beusch/Kneubühler, op. cit., n. 2.191, sentenza del TAF D-1443/2016 del 22 febbraio 2017 consid. 4.2).</w:t>
      </w:r>
    </w:p>
    <w:p>
      <w:r>
        <w:rPr>
          <w:b/>
        </w:rPr>
        <w:t>E. 6.1</w:t>
      </w:r>
    </w:p>
    <w:p>
      <w:r>
        <w:t>Ora, nella presente fattispecie, appare indubbio che la SEM non abbia tenuto in debita considerazione alcune circostanze potenzialmente rilevanti per l'esito della vertenza. A prescindere infatti dalla verosimiglianza delle allegazioni di A._______ circa l'arresto subito ed il fatto di aver udito il marito esprimersi in una radio clandestina, v'è da sottolineare che secondo la giurisprudenza coordinata del Tribunale, in presenza di un espatrio illegale (che l'autorità intimata non ha messo in dubbio nel provvedimento avversato) gli elementi supplementari per ammettere una potenziale rilevanza in materia d'asilo sono molteplici (cfr. sentenza del Tribunale D-7898/2015 del 30 gennaio 2017 [pubblicata come sentenza di riferimento] consid. 5.1). Pertanto, non è escluso che l'attività in esilio del marito rispettivamente padre, se portata a conoscenza delle autorità eritree, potrebbe costituire una circostanza atta a rendere invise le richiedenti asilo ai loro occhi. Come lo si evince dalla documentazione reperibile su internet, il famigliare in questione è effettivamente molto attivo in seno alla diaspora eritrea in israele. Egli risulta infatti essere stato intervistato a più riprese nell'ambito di programmi televisivi dal 2013 e sino all'anno in corso ed agire come uno dei rappresentati de facto degli esiliati eritrei in Israele (cfr. risultanze processuali, act. 6 e 7). Ciò è deducibile non solo sulla base dei collegamenti web prodotti dalle ricorrenti ma anche da una semplice ricerca on-line del nome di quest'ultimo in caratteri ebraici (cfr. risultanze processuali, act. 8).</w:t>
      </w:r>
    </w:p>
    <w:p>
      <w:r>
        <w:rPr>
          <w:b/>
        </w:rPr>
        <w:t>E. 6.2</w:t>
      </w:r>
    </w:p>
    <w:p>
      <w:r>
        <w:t>Ciò detto, in specie si necessità dunque di passare in rivista l'esposizione mediatica del padre rispettivamente marito onde determinare se la stessa presenti effettivamente elementi di criticità tali da giustificare, per le ricorrenti, un fondato timore di subire una persecuzione riflessa, sia essa da intendersi ai sensi della giurisprudenza generica (cfr. DTAF 2010/57 consid. 4.1.3) o quale elemento supplementare in un contesto di espatrio illegale (cfr. sentenza D-7898/2015 consid. 5.).</w:t>
      </w:r>
    </w:p>
    <w:p>
      <w:r>
        <w:rPr>
          <w:b/>
        </w:rPr>
        <w:t>E. 6.3</w:t>
      </w:r>
    </w:p>
    <w:p>
      <w:r>
        <w:t>Tenendo in debito conto il grado di esposizione mediatica, occorrerà anzitutto esaminare nel dettaglio le dichiarazioni effettuate in pubblico e sul web dal marito rispettivamente padre delle insorgenti al fine di valutare la presenza di elementi che possano risultare sgraditi alle autorità eritree. Sarà poi necessario determinare se detta contingenza sia tale da influire sulla situazione delle qui ricorrenti in caso di rientro in patria, e ciò tenendo in considerazione l'avvenuto espatrio illegale e la situazione nel paese d'origine sotto l'aspetto dei diritti umani, dei modelli di persecuzione "usualmente" applicati nonché del comportamento generale degli organi statali. Essendo verosimilmente necessari dei complementi istruttori e non volendo questo Tribunale precludere alle ricorrenti un'eventuale impugnativa nei confronti di un complesso fattuale ancora da accertare, il Tribunale ritiene giudizioso incaricare l'autorità di prima istanza di questa incombenza.</w:t>
      </w:r>
    </w:p>
    <w:p>
      <w:r>
        <w:rPr>
          <w:b/>
        </w:rPr>
        <w:t>E. 7</w:t>
      </w:r>
    </w:p>
    <w:p>
      <w:r>
        <w:t>Pertanto, il ricorso è accolto e la decisione della SEM del 14 novembre 2017 è annullata. Gli atti di causa sono trasmessi alla SEM (art. 61 cpv. 1 PA) affinché la stessa proceda, in termini ragionevoli (art. 29 cpv. 1 Cost.), a completare l'istruttoria ed a pronunciare una nuova decisione rispettosa dei considerandi della presente sentenza. Su tali presupposti non vi è necessità di passare in rivista le restanti censure ricorsuali.</w:t>
      </w:r>
    </w:p>
    <w:p>
      <w:r>
        <w:rPr>
          <w:b/>
        </w:rPr>
        <w:t>E. 8.1</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26 luglio 2018.</w:t>
      </w:r>
    </w:p>
    <w:p>
      <w:r>
        <w:rPr>
          <w:b/>
        </w:rPr>
        <w:t>E. 8.2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850.- (disborsi e indennità supplementare in rapporto all'IVA compresi) (art. 14 cpv. 2 TS-TAF, art. 9 cpv. 1 lett. c TS-TAF, art. 7 TS-TAF).</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