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D-7067/2015 vom 22. Mai 2017</w:t>
      </w:r>
    </w:p>
    <w:p>
      <w:r>
        <w:t>Bundesverwaltungsgericht, 2017-05-22, DE</w:t>
      </w:r>
    </w:p>
    <w:p>
      <w:r>
        <w:rPr>
          <w:b/>
        </w:rPr>
        <w:t xml:space="preserve">Quelle: </w:t>
      </w:r>
      <w:r>
        <w:t>https://mcp.opencaselaw.ch/entscheid/bvger_D-7067_2015</w:t>
      </w:r>
    </w:p>
    <w:p>
      <w:r>
        <w:t>FR: TAF D-7067/2015 du 22 mai 2017</w:t>
      </w:r>
    </w:p>
    <w:p>
      <w:r>
        <w:t>IT: TAF D-7067/2015 del 22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 sowie in den übrigen Bereichen - nach Art. 49 VwVG (vgl. BVGE 2014/26 E. 5).</w:t>
      </w:r>
    </w:p>
    <w:p>
      <w:r>
        <w:rPr>
          <w:b/>
        </w:rPr>
        <w:t>E. 3</w:t>
      </w:r>
    </w:p>
    <w:p>
      <w:r>
        <w:t>Im vorliegenden Fall ist zunächst auf die in der Beschwerdeschrift vorgebrachte Rüge einzugehen, der Anspruch des Beschwerdeführers auf rechtliches Gehör sei verletzt worden.</w:t>
      </w:r>
    </w:p>
    <w:p>
      <w:r>
        <w:rPr>
          <w:b/>
        </w:rPr>
        <w:t>E. 3.1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2008/47 E. 3.2 S. 674 f.).</w:t>
      </w:r>
    </w:p>
    <w:p>
      <w:r>
        <w:rPr>
          <w:b/>
        </w:rPr>
        <w:t>E. 3.2</w:t>
      </w:r>
    </w:p>
    <w:p>
      <w:r>
        <w:t>Der Anspruch auf das rechtliche Gehör ist formeller Natur, weshalb seine Verletzung grundsätzlich ohne weiteres - das heisst ungeachtet der materiellen Auswirkungen - zur Aufhebung des daraufhin ergangenen Entscheides führt (vgl. BVGE 2008/47 E. 3.3.4; 2008/14 E. 4.1; 2007/30 E. 8.2, m. w. H.).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2007/27 E. 10.1; 2008/47 E. 3.3.4; 2014/22 E. 5.3, m. w. H.).</w:t>
      </w:r>
    </w:p>
    <w:p>
      <w:r>
        <w:rPr>
          <w:b/>
        </w:rPr>
        <w:t>E. 3.3</w:t>
      </w:r>
    </w:p>
    <w:p>
      <w:r>
        <w:t>Der Beschwerdeführer machte geltend, in der angefochtenen Verfügung seien verschiedene Elemente des in den durchgeführten Befragungen erhobenen Sachverhalts nicht erwähnt beziehungsweise bei der Begründung der Verfügung nicht ausreichend berücksichtigt worden. Die fehlenden Angaben zur Altersabklärung und die Begründungsmängel bezüglich der Glaubhaftigkeitsprüfung der illegalen Ausreise des Beschwerdeführers stellten eine grobe Verletzung des Anspruchs auf das rechtliche Gehör dar.</w:t>
      </w:r>
    </w:p>
    <w:p>
      <w:r>
        <w:rPr>
          <w:b/>
        </w:rPr>
        <w:t>E. 3.4</w:t>
      </w:r>
    </w:p>
    <w:p>
      <w:r>
        <w:t>Nach Prüfung der Aktenlage ist vorliegend festzustellen, dass die Glaubhaftigkeitsprüfung bzw. deren Begründung in der angefochtenen Verfügung - wenngleich sie überaus rudimentär und verallgemeinernd ausgefallen ist -, dennoch dem Anspruch des Beschwerdeführers auf rechtliches Gehör gerade noch knapp genügt. So führte das SEM unter Hinweis auf die Protokollstellen auf, dass es die gesamte Schilderung des Beschwerdeführers bezüglich der angeblich illegalen Ausreise für realitätsfremd und jeglicher Logik entbehrend hält. Dazu konnte sich der Beschwerdeführer in der Beschwerde äussern. Sodann brachte das SEM in seiner Vernehmlassung zusätzliche Argumente für seine Glaubhaftigkeitsbeurteilung bezüglich der geltend gemachten illegalen Ausreise vor. Die bestehende Aktenlage erlaubt es auch ohne weiteres, die Vorbringen des Beschwerdeführers abschliessend zu beurteilen. Auch wurden dem Beschwerdeführer in der Vernehmlassung vom 11. November 2015 - wie bereits erwähnt - die Gründe für die fehlende Glaubhaftmachung dargelegt, zu denen er mit Replik vom 26. November 2015 ausführlich Stellung nehmen konnte. Selbst wenn von einer Verletzung des rechtlichen Gehörs ausgegangen werden müsste, könnte der festgestellte Verfahrensmangel daher als geheilt betrachtet werden. Wie in den nachfolgenden Erwägungen aufzuzeigen sein wird, ist die Frage der Glaubhaftmachung der illegalen Ausreise für die Entscheidfindung im vorliegenden Fall ohnehin nur mehr von untergeordneter Bedeutung.</w:t>
      </w:r>
    </w:p>
    <w:p>
      <w:r>
        <w:rPr>
          <w:b/>
        </w:rPr>
        <w:t>E. 3.5</w:t>
      </w:r>
    </w:p>
    <w:p>
      <w:r>
        <w:t>In der Beschwerdeschrift wurden die fehlenden Angaben zur Altersabklärung im angefochtenen Entscheid dahingehend gerügt, dass die Altersangaben des Beschwerdeführers für die Glaubhaftigkeitsprüfung der geltend gemachten Fluchtgründe relevant seien. Aufgrund der nachfolgenden Erwägungen zur geltend gemachten illegalen Ausreise ist dies für die Entscheidfindung und -begründung in Bezug auf die vorgebrachten subjektiven Nachfluchtgründe jedoch nicht mehr von Relevanz. Bei dieser Sachlage wiegt der Verfahrensmangel nicht besonders schwer, zumal der Beschwerdeführer im Rahmen des rechtlichen Gehörs im erstinstanzlichen Verfahren, in der Rechtsmitteleingabe und in der Replik hinreichend Möglichkeit gehabt hat, sich hierzu zu äussern. Schliesslich würde eine Rückweisung vorliegend zu einem formalistischen Leerlauf führen. Die Gehörsverletzung hat bei dieser Sachlage als geheilt zu gelten. Zudem gelangt das Gericht nach Prüfung der Akten und der vom Beschwerdeführer vorgetragenen Argumente zum Schluss, dass das vom Beschwerdeführer angegebene Geburtsdatum vom (...) nicht glaubhaft ist. Zwar spricht der Eindruck der Hilfswerkvertretung dafür, dass der Beschwerdeführer zum Zeitpunkt des erstinstanzlichen Verfahrens noch minderjährig war. Hingegen weicht das von ihm angegebene Geburtsdatum vom Ergebnis der Handknochenanalyse entscheidend ab. Das vom Beschwerdeführer angegebene Alter liegt mit einer Abweichung von über drei Jahren ausserhalb der Bandbreite des auch nur theoretisch mit dem Resultat der Knochenalteranalyse vereinbaren Alters (vgl. EMARK 2001 Nr. 23, E. 4, S. 186; EMARK 2000 Nr. 19, E. 7, S. 184 ff.). Darin liegt ein Indiz dafür, dass der Beschwerdeführer älter ist, als von ihm angegeben. Sodann hat der Beschwerdeführer eine Child Health Card im Original zu den Akten gereicht, auf der das Geburtsdatum vom (...) angeführt ist. Dies fällt zwar in die Bandbreite des theoretisch noch mit der Knochenaltersanalyse vereinbaren Alters, steht jedoch im Widerspruch zu seinen eigenen Angaben, wonach er um ein Jahr jünger sei. Diese Ungereimtheiten sprechen gegen die Glaubhaftigkeit der Vorbringen des Beschwerdeführers. Nach dem Gesagten ist auch die Vorlage eines Schulzeugnisses (2013/2014), einer Geburtsurkunde und eines Schreibens der Gemeinde (beides datierend aus dem Jahr 2015) nicht ausreichend, die erheblichen Zweifel an den Altersangaben aus dem Weg zu räumen, da es sich dabei um Dokumente handelt, die leicht erhältlich gemacht werden können und somit von zu geringem Beweiswert sind. Aus diesen Gründen ist das SEM vom Ergebnis her zu Recht von der fehlenden Glaubhaftmachung des Geburtsdatums ([...]) ausgegangen und überwiegen auch die Indizien für eine erreichte Volljährigkeit zumindest zum Zeitpunkt der Urteilsfindung durch das Bundesverwaltungsgericht. Insoweit mit dem Vorbringen des Beschwerdeführers auf Replikebene, das geänderte Alter sei vom SEM nicht rechtsgenüglich verfügt worden, um eine Beschleunigung im Verfahren betreffend der Berichtigung des eingetragenen Alters und um Erlass einer Verfügung in dieser Sache ersucht wird, hat sich der Beschwerdeführer an die Vorinstanz zu 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 dem Hintergrund der von der vormaligen Schweizerischen Asylrekurskommission (ARK) begründeten Rechtsprechung, die vom Bundes-verwaltungsgericht fortgeführt wird, ist festzustellen, dass Dienstverweigerung und Desertion in Eritrea unverhältnismässig streng bestraft werden (vgl. Entscheidungen und Mitteilungen der ARK [EMARK] 2006 Nr. 3 sowie Urteil des BVGer E-5761/2013 vom 12. Juni 2014 E. 6.1).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 A Abs. 2 des Abkommens vom 28. Juli 1951 über die Rechtsstellung der Flüchtlinge (FK, SR 0.142.30) und Art. 3 Abs. 1-3 AsylG anzuerkennen.</w:t>
      </w:r>
    </w:p>
    <w:p>
      <w:r>
        <w:rPr>
          <w:b/>
        </w:rPr>
        <w:t>E. 5.2</w:t>
      </w:r>
    </w:p>
    <w:p>
      <w:r>
        <w:t>Der Beschwerdeführer machte geltend, sein Land aus Furcht vor einem künftigen Einzug in den Nationaldienst verlassen zu haben. Vor seiner Ausreise hatte er eigenen Angaben zufolge deshalb weder Behördenkontakt noch ein Aufgebot erhalten.</w:t>
      </w:r>
    </w:p>
    <w:p>
      <w:r>
        <w:rPr>
          <w:b/>
        </w:rPr>
        <w:t>E. 5.3</w:t>
      </w:r>
    </w:p>
    <w:p>
      <w:r>
        <w:t>Das SEM hat in der angefochtenen Verfügung festgehalten, dass die blosse Befürchtung, zukünftig in den Nationaldienst eingezogen zu werden, keine asylrelevante Verfolgung zu begründen vermag. Auf der Grundlage der Akten kommt auch das Bundesverwaltungsgericht zum Schluss, dass der Beschwerdeführer vorliegend nicht als Refraktär gelten kann. Das Gesuch wurde im Asylpunkt zu Recht abgelehnt.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6.2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6.3</w:t>
      </w:r>
    </w:p>
    <w:p>
      <w:r>
        <w:t>Aufgrund der nachfolgenden Erwägungen ist - ungeachtet der Beschwerdebegründung zur geltend gemachten illegalen Ausreise - auf die diesbezüglichen Ausführungen im Einzelnen nicht einzugehen.</w:t>
      </w:r>
    </w:p>
    <w:p>
      <w:r>
        <w:rPr>
          <w:b/>
        </w:rPr>
        <w:t>E. 6.4</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6.5</w:t>
      </w:r>
    </w:p>
    <w:p>
      <w:r>
        <w:t>Aufgrund dieses Entscheids kann auf eine eingehende Glaubhaftigkeitsbeurteilung bezüglich der illegalen Ausreise des Beschwerdeführers verzichtet werden. So ist selbst bei Wahrunterstellung der illegal erfolgten Ausreise das Vorliegen zusätzlicher Anknüpfungspunkte in seinem Falle zu verneinen. Vor seiner Ausreise ist es zu keinem Kontakt mit den Behörden gekommen, er hat kein militärisches Aufgebot erhalten, so dass er nicht als Deserteur oder Refraktär gelten kann. Die Befürchtung, künftig wie sein Vater oder sein Bruder in den Nationaldienst eingezogen zu werden, reicht nicht aus, das Profil des Beschwerdeführers zu schärfen. Insbesondere sind keine weiteren Anknüpfungspunkte ersichtlich, welche den Beschwerdeführer in den Augen des eritreischen Regimes als missliebige Person erscheinen lassen könnten. Nach dem Gesagten ist es dem Beschwerdeführer nicht gelungen, Nachfluchtgründe im Sinne von Art. 3 AsylG glaubhaft zu machen.</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Der Vollständigkeit halber ist anzumerken, dass die von der Vorinstanz wegen Unzumutbarkeit des Vollzugs verfügte vorläufige Aufnahme des Beschwerdeführers von den vorstehenden Erwägungen unberührt bleibt.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sein Gesuch um unentgeltliche Rechtspflege mit Zwischenverfügung vom 6. November 2015 gemäss Art. 65 Abs. 1 VwVG gutgeheissen wurde, sind keine Verfahrenskosten zu erheben.</w:t>
      </w:r>
    </w:p>
    <w:p>
      <w:r>
        <w:rPr>
          <w:b/>
        </w:rPr>
        <w:t>E. 9.2</w:t>
      </w:r>
    </w:p>
    <w:p>
      <w:r>
        <w:t>Gleichzeitig wurde mit Verfügung vom 6. November 2015 das Gesuch um unentgeltliche Verbeiständung gestützt auf Art. 110a Abs. 1 AsylG gutgeheissen und dem Beschwerdeführer der rubrizierte Rechtsvertreter als amtlicher Rechtsbeistand beigeordnet. Mit Eingabe vom 30. Dezember 2015 legte der Rechtsvertreter eine Kostennote in der Höhe von Fr. 1800.-, wobei der Gesamtaufwand mit neun Stunden bei einem Stundenhonorar von Fr. 194.- und ein pauschaler Aufwandersatz in der Höhe von Fr. 54.- angegeben wurden. Das Bundesverwaltungsgericht geht bei amtlicher Vertretung in der Regel von einem Stundenansatz von Fr. 100.- bis Fr. 150.- für nicht-anwaltliche Vertreterinnen und Vertreter aus (Art. 12 i.V.m. Art. 10 Abs. 2 VGKE [SR 173.320.2]). Für das amtliche Honorar ist der vom Rechtsvertreter angenommene Stundensatz entsprechend zu kürzen. Der rechnerische Vertretungsaufwand beträgt somit unter Berücksichtigung der massgeblichen Faktoren Fr. 1400.- (inklusive Barauslagen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