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D-7063/2016 vom 7. November 2017</w:t>
      </w:r>
    </w:p>
    <w:p>
      <w:r>
        <w:t>Bundesverwaltungsgericht, 2017-11-07, IT</w:t>
      </w:r>
    </w:p>
    <w:p>
      <w:r>
        <w:rPr>
          <w:b/>
        </w:rPr>
        <w:t xml:space="preserve">Quelle: </w:t>
      </w:r>
      <w:r>
        <w:t>https://mcp.opencaselaw.ch/entscheid/bvger_D-7063_2016</w:t>
      </w:r>
    </w:p>
    <w:p>
      <w:r>
        <w:t>FR: TAF D-7063/2016 du 7 novembre 2017</w:t>
      </w:r>
    </w:p>
    <w:p>
      <w:r>
        <w:t>IT: TAF D-7063/2016 del 7 novembre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stati i ricorrenti posti al beneficio dell'ammissione provvisoria per inesigibilità dell'esecuzione dell'allontanamento con decisione del 13 maggio 2016 e non avendo quest'ultimi censurato la pronuncia dell'allontanamento, oggetto del litigio in questa sede risulta pertanto essere esclusivamente la decisione riguardante il rifiuto della loro domanda d'asilo.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w:t>
      </w:r>
    </w:p>
    <w:p>
      <w:r>
        <w:t>Nel caso in esame, è preliminarmente opportuno constatare come gli elementi elencati nel provvedimento avversato a riprova dell'inverosimiglianza delle dichiarazioni di A._______ non risultino particolarmente convincenti. Anzitutto, va sottolineato che, a mente del Tribunale, il solo fatto che la ricorrente, nel corso dell'audizione sulle generalità, abbia erroneamente riferito che il 20 novembre 2014 sia caduto di lunedì, non permette di mettere in dubbio la veridicità delle sue allegazioni. V'è infatti da constatare che fatta astrazione di tale imprecisione, le versioni da lei rese nell'ambito delle due audizioni risultano tali aspetti compatibili (cfr. atto A5, pag. 8; atto A18, pag. 6-8). Non di meno, anche le presunte divergenze circa i termini della chiamata all'intervento del vicino di casa non paiono insanabili. Le dichiarazioni dell'interessata differiscono infatti solo su alcuni punti secondari in parte spiegabili dalla vicinanza tra le rispettive abitazioni (cfr. atto AA18, pag. 4-6). Ciò posto, è quantomeno d'uopo osservare che, il solo fatto che la versione resa dall'interessata sia sostanzialmente esente da contraddizioni non significa ancora ch'essa debba d'acchito essere considerata in preponderanza veritiera. Il giudizio sulla verosimiglianza non deve, infatti, ridursi a una mera verifica della plausibilità del contenuto di ogni singola allegazione, bensì dev'essere il frutto di una ponderazione tra gli elementi essenziali a favore e contrari ad essa (cfr. DTAF 2013/11 consid. 5.1 e giurisprudenza ivi citata). Sia quel che sia, nella presente fattispecie la questione può rimanere indecisa per i motivi che seguono.</w:t>
      </w:r>
    </w:p>
    <w:p>
      <w:r>
        <w:rPr>
          <w:b/>
        </w:rPr>
        <w:t>E. 6.1</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6.2</w:t>
      </w:r>
    </w:p>
    <w:p>
      <w:r>
        <w:t>Vi è luogo di riconoscere l'esistenza di una persecuzione riflessa quando dei famigliari di una persona perseguitata sono esposti a delle rappresaglie, siano esse finalizzate all'ottenimento di informazioni, espletate in ottica punitiva o, ancora, messe in atto con l'obbiettivo di imporre una cessazione delle attività svolte dalla persona presa di mira. In tale ambito si necessita di apprezzare l'intensità del rischio di esposizione a persecuzioni in funzione delle circostanze del caso in esame. Vi è altresì luogo di prendere in considerazione la situazione nel paese d'origine sotto l'aspetto dei diritti umani, dei modelli di persecuzione "usualmente" applicati così come del comportamento generale degli organi statali nei confronti di determinate persone o gruppi di persone la cui situazione è comparabile a quella del richiedente (cfr. DTAF 2010/57 consid. 4.1.3 e sentenza del Tribunale D-4120/2014 del 31 maggio 2016 consid. 5.3.1).</w:t>
      </w:r>
    </w:p>
    <w:p>
      <w:r>
        <w:rPr>
          <w:b/>
        </w:rPr>
        <w:t>E. 7.1</w:t>
      </w:r>
    </w:p>
    <w:p>
      <w:r>
        <w:t>Nell'evenienza concreta si può concludere che, alla luce degli atti di causa e delle fonti citate, quanto addotto dalla ricorrente non configuri elementi giustificanti il riconoscimento della qualità di rifugiato.</w:t>
      </w:r>
    </w:p>
    <w:p>
      <w:r>
        <w:rPr>
          <w:b/>
        </w:rPr>
        <w:t>E. 7.2</w:t>
      </w:r>
    </w:p>
    <w:p>
      <w:r>
        <w:t>Anzitutto, va rilevato che la ricorrente non risulta aver avuto problemi personali con le autorità militari. I contatti intercorsi e di cui ha riferito, sono infatti da ricondurre alla scomparsa del marito non riguardano la sua posizione nei confronti del servizio nazionale. Dagli atti all'inserto può del resto essere facilmente dedotto che la ricorrente si sia sposata in giovane età dando alla luce il primo figlio a 20 anni (cfr. atto A5, pag. 3). In ragione di ciò (cfr. carta d'identità dell'interessata over figura la menzione "casalinga"), si può a giusto titolo concludere che l'interessata sia con ogni probabilità stata esentata dall'obbligo di leva, se non formalmente quantomeno de facto. Su tali presupposti risulta parimenti improbabile che l'interessata, in caso di ritorno (ipotetico) nel paese d'origine, possa essere successivamente convocata per prestare servizio (cfr. sentenza del TAF D-2311/2016 del 17 agosto 2017 in ambito di ammissibilità dell'esecuzione dell'allontanamento e destinata alla pubblicazione come sentenza di riferimento; sentenza del TAF D-7745/2016 dell'11 settembre 2017 consid. 6.4). Pertanto, l'insorgente non può avvalersi di un timore fondato di subire pregiudizi per motivi personali ed in particolare a causa di diserzione o renitenza (cfr. DTAF 2015/3 consid. 5.7.1; GICRA 2006 n. 3 consid. 4.10).</w:t>
      </w:r>
    </w:p>
    <w:p>
      <w:r>
        <w:rPr>
          <w:b/>
        </w:rPr>
        <w:t>E. 7.3</w:t>
      </w:r>
    </w:p>
    <w:p>
      <w:r>
        <w:t>Per quanto riguarda invece la situazione venutasi a creare conseguentemente alla diserzione del marito, occorre ammettere che, sebbene la ricorrente sia effettivamente stata interpellata dalle autorità al riguardo, un tale contatto non configura, segnatamente sotto l'aspetto dell'intensità, una persecuzione rilevante in materia d'asilo. Non di meno, l'assenza di situazioni pregresse configurabili quali persecuzioni anteriori e di indizi concreti e sufficienti che lascino apparire come probabile l'avvento di tali atti, permette inoltre di escludere con franchezza che la ricorrente possa avvalersi di un fondato timore di subire pregiudizi futuri dettati da tali circostanze. Tale ultimo sussunto è del resto confermato anche dalle stesse dichiarazioni dell'interessata, che ha in un primo momento ricondotto l'espatrio successivo alla visita dei militari, non tanto al timore di subire successive rappresaglie, quanto più alla paura di non ricevere più la rendita del marito (cfr. atto A5, pag. 8). Oltracciò, avendo la ricorrente perso ogni traccia del coniuge, verrebbe in specie meno anche la finalità stessa di eventuali atti ritorsivi, posto che, come da lei indicato, i militari le avrebbero fatto pressioni proprio per ottenere informazioni a tal riguardo (cfr. atto A18, pag. 4). In definitiva, l'insorgente non può quindi nemmeno avvalersi di un timore fondato di essere oggetto di una persecuzione riflessa a seguito della diserzione del congiunto (cfr. situazione analoghe nelle recenti sentenze del TAF D-3687/2016 del 25 luglio 2017 consid. 6.2; E-34/17 del 13 giugno 2017 consid. 5.1.1; E-4456/16 del 1° giugno 2017 consid. 5.4).</w:t>
      </w:r>
    </w:p>
    <w:p>
      <w:r>
        <w:rPr>
          <w:b/>
        </w:rPr>
        <w:t>E. 7.4</w:t>
      </w:r>
    </w:p>
    <w:p>
      <w:r>
        <w:t>Quo all'espatrio illegale il Tribunale ha avuto modo di pronunciarsi in una recente sentenza di riferimento (D-7898/2015 del 30 gennaio 2017). In tale decisione, dopo approfondita analisi delle attuali informazioni sul Paese (cfr. D-7898/2015 consid. 4.6-4.11), il Tribunale ha esaminato la questione della rilevanza in materia d'asilo dell'espatrio illegale dall'Eritrea e stabilito che quest'ultimo,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corta durata. Pertanto non si può più presumere con una probabilità preponderante che i cittadini eritrei siano esposti in Patria a sanzioni che per la loro intensità e per le ragioni politiche dello Stato equivalgano seri pregiudizi ai sensi della legge sull'asilo e ciò unicamente a causa dell'espatrio illegale. Un rischio accresciuto di subire una sanzione, può essere riconosciuto unicamente in presenza di elementi supplementari che lascino presupporre che la persona sia malvista dalle autorità eritree (cfr. D-7898/2015 consid. 5.1). Ora, fermo considerato che nel caso in disamina la ricorrente non rientra in suddetta categoria di persone, v'è luogo di concludere anche a tal proposito ch'ella non ha a temere trattamenti configuranti un persecuzione ai sensi dei disposti citati in caso di ritorno in patria.</w:t>
      </w:r>
    </w:p>
    <w:p>
      <w:r>
        <w:rPr>
          <w:b/>
        </w:rPr>
        <w:t>E. 8</w:t>
      </w:r>
    </w:p>
    <w:p>
      <w:r>
        <w:t>È dunque a giusto titolo che l'autorità di prime cure ha negato l'asilo agli interessati.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9</w:t>
      </w:r>
    </w:p>
    <w:p>
      <w:r>
        <w:t>Visto l'esito della procedura, le spese processuali di CHF 750.-, che seguono la soccombenza, sono poste a carico delle ricorrenti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pagine seguente) il Tribunale amministrativo federale pronuncia: 1. Il ricorso è respinto. 2. Le spese processuali, di CHF 750.- sono poste a carico delle ricorrenti. 3.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