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D-7049/2007 vom 22. April 2010</w:t>
      </w:r>
    </w:p>
    <w:p>
      <w:r>
        <w:t>Bundesverwaltungsgericht, 2010-04-22, DE</w:t>
      </w:r>
    </w:p>
    <w:p>
      <w:r>
        <w:rPr>
          <w:b/>
        </w:rPr>
        <w:t xml:space="preserve">Quelle: </w:t>
      </w:r>
      <w:r>
        <w:t>https://mcp.opencaselaw.ch/entscheid/bvger_D-7049_2007</w:t>
      </w:r>
    </w:p>
    <w:p>
      <w:r>
        <w:t>FR: TAF D-7049/2007 du 22 avril 2010</w:t>
      </w:r>
    </w:p>
    <w:p>
      <w:r>
        <w:t>IT: TAF D-7049/2007 del 22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Art. 50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hat die Anträge auf Gewährung von Asyl, Rückweisung der Sache an die Vorinstanz zur Neubeurteilung sowie Feststellung der Unzulässigkeit des Wegweisungsvollzugs zurückgezogen, weshalb die Beschwerde im entsprechenden Umfang als durch Rückzug gegenstandslos geworden abzuschreiben ist. Gegenstand des vorliegenden Beschwerdeverfahrens bildet somit die Frage, ob der Vollzug der Wegweisung unzumutbar ist und infolgedessen die vorläufige Aufnahme anzuordnen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Bei der Prüfung der drei genannten Kriterien ist auf die im Entscheidzeitpunkt bestehenden Verhältnisse abzustellen (Entscheidungen und Mitteilungen der Schweizerischen Asylrekurskommission [EMARK] 1997 Nr. 27 E. 4 f S. 211).</w:t>
      </w:r>
    </w:p>
    <w:p>
      <w:r>
        <w:rPr>
          <w:b/>
        </w:rPr>
        <w:t>E. 4.2.1</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4.3</w:t>
      </w:r>
    </w:p>
    <w:p>
      <w:r>
        <w:t>In den drei nordirakischen Provinzen Dohuk, Suleimaniya und Erbil herrscht keine Situation allgemeiner Gewalt, und die dortige politische Lage ist nicht dermassen angespannt,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und insb.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16. September 2009 über die Kurdistan Regional Government Area of Iraq, Ziff. 8.01 bis 8.16).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hat gemäss eigenen Angaben bereits von 1997 bis 2003 bei einem Onkel in Suleimaniya gelebt und gearbeitet (vgl. act. A16/16 S. 8), und aus den Akten und den Angaben des Beschwerdeführers ergeben sich keine konkreten Anhaltspunkte, die darauf schliessen liessen, der alleinstehende, bald 27-jährige Beschwerdeführer gerate im Falle der Rückkehr in die nordirakische Provinz Suleimaniya aus individuellen Gründen wirtschaftlicher, sozialer oder gesundheitlicher Natur in eine seine Existenz bedrohende Situation. Wie bereits vom BFM in der angefochtenen Verfügung sowie in der Zwischenverfügung 15. November 2007 ausgeführt, sind die vom Beschwerdeführer geltend gemachten Probleme, die ihm im Zusammenhang mit seiner angeblichen Liebesbeziehung zu einer Schiitin erwachsen sein sollen, nicht glaubhaft. Dementsprechend ist auch nicht glaubhaft, dass er wegen der Probleme, die er angeblich mit der Familie seiner schiitischen Freundin habe, von seinem in B.__________ lebenden Vater verstossen worden sein soll, und auch sein Onkel nichts mehr mit ihm zu tun haben wolle, wie dies in der Eingabe vom 15. April 2008 behauptet wird. Vielmehr ist davon auszugehen, dass der Beschwerdeführer in der Provinz Suleimaniya nach wie vor über ein familiäres Beziehungsnetz verfügt und sich dort allenfalls mit Hilfe seines Onkels sowie seines - gemäss Angaben in der Eingabe vom 15. April 2008 - wohlhabenden Vaters eine wirtschaftliche Existenz aufbauen kann. Der Beschwerdeführer reichte alsdann Faxkopien von medizinischen Unterlagen aus dem Irak ein, deren Übersetzung in eine Landessprache der Schweiz er entgegen der Ankündigung in der Eingabe vom 4. Dezember 2007 indessen bis heute nicht nachgereicht hat. Ferner reichte er einen Rezeptblockzettel von Dr. med. C.__________ vom 29. November 2007, sowie Kopien eines Überweisungsschreibens von Dr. med. D.___________, E.___________, vom 21. Juli 2007, eines provisorischen Austrittsbericht des Spitals F.__________ vom 11. März 2008, der Anmeldung zur gastroenterologischen Sprechstunde des Gesundheitszentrums F.__________/G.___________ vom 29. November 2007 und des ärztlichen Berichts des Spitals F.__________ vom 10. Dezember 2007 an Dr. med. C.__________, ein. Den eingereichten Unterlagen lässt sich entnehmen, dass der Beschwerdeführer sich am 21. Juli 2007 Rissquetschwunden am Kopf nähen lassen musste, im November 2007 wegen eines Magengeschwürs in Behandlung stand, und vom 10. bis 12. März 2008 im Spital F.__________ hospitalisiert war und sich wegen seiner Gastritis behandeln lassen musste. Aus dem provisorischen Austrittsbericht des Spitals F.__________ vom 11. März 2008 geht hervor, dass der Beschwerdeführer nach der Behandlung in gutem Allgemeinzustand entlassen werden konnte. Ferner wird ausgeführt, dass er später zu einer Wiederholung der Gastroskopie aufgeboten wird und bis dahin die Therapie mit dem Medikament Nexium fortgeführt werden sollte. Nachdem keine weiteren ärztlichen Zeugnisse eingereicht wurden, ist davon auszugehen, dass der Beschwerdeführer heute über keine akuten gesundheitlichen Beschwerden verfügt, die im Nordirak möglicherweise nicht behandelt werden könnten. Anzufügen bleibt, dass er den Faxkopien der medizinischen Unterlagen aus dem Irak zufolge bereits in den Jahren 2005 und 2006 in der Heimat wegen Gastritis in ärztlicher Behandlung stand, und nicht ersichtlich ist, weshalb er nicht erneut auf die medizinische Infrastruktur in seiner Heimat zurückgreifen könnte, falls in diesem Zusammenhang eine weitere medizinische Behandlung erforderlich sein sollte. Der Vollzug der Wegweisung erweist sich somit auch unter diesem Aspekt nicht als unzumutbar.</w:t>
      </w:r>
    </w:p>
    <w:p>
      <w:r>
        <w:rPr>
          <w:b/>
        </w:rPr>
        <w:t>E. 5</w:t>
      </w:r>
    </w:p>
    <w:p>
      <w:r>
        <w:t>Aufgrund dieser Erwägungen ist die Beschwerde - unter Verzicht auf die Durchführung eines Schriftenwechsels (Art. 111a Abs. 1 AsylG) - abzuweisen, soweit beantragt wird, es sei die Unzumutbarkeit des Vollzugs der Wegweisung festzustellen und vorläufige Aufnahme zu gewähren. Im Übrigen ist sie als durch Rückzug gegenstandslos geworden abzuschreiben.</w:t>
      </w:r>
    </w:p>
    <w:p>
      <w:r>
        <w:rPr>
          <w:b/>
        </w:rPr>
        <w:t>E. 6.1</w:t>
      </w:r>
    </w:p>
    <w:p>
      <w:r>
        <w:t>Nachdem dem Beschwerdeführer in der Zwischenverfügung vom 15. November 2007 die unentgeltliche Rechtspflege gewährt wurde, soweit - als Teil des Subeventualbegehrens - die Feststellung der Unzumutbarkeit des Wegweisungsvollzugs und die Anordnung der vorläufigen Aufnahme beantragt werden, und ihm für den Fall des Rückzugs der weiteren Begehren in entsprechenden Umfang die Abschreibung der Beschwerde ohne Erhebung von Prozesskosten in Aussicht gestellt wurde, sind keine Verfahrenskosten aufzuerlegen (Art. 63 Abs. 1 VwVG und Art. 6 Bst. 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