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D-7040/2006 vom 28. Juli 2009</w:t>
      </w:r>
    </w:p>
    <w:p>
      <w:r>
        <w:t>Bundesverwaltungsgericht, 2009-07-28, FR</w:t>
      </w:r>
    </w:p>
    <w:p>
      <w:r>
        <w:rPr>
          <w:b/>
        </w:rPr>
        <w:t xml:space="preserve">Quelle: </w:t>
      </w:r>
      <w:r>
        <w:t>https://mcp.opencaselaw.ch/entscheid/bvger_D-7040_2006</w:t>
      </w:r>
    </w:p>
    <w:p>
      <w:r>
        <w:t>FR: TAF D-7040/2006 du 28 juillet 2009</w:t>
      </w:r>
    </w:p>
    <w:p>
      <w:r>
        <w:t>IT: TAF D-7040/2006 del 28 luglio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2008/4 consid. 5.4 p. 38s. ; arrêts du Tribunal administratif fédéral D-6277/2006 consid. 1.5 du 8 juin 2009, D-4662/2006 consid. 1.5 du 13 mai 2009 et D-6607/2006 consid. 1.5 [et réf. JICRA cit.] du 27 avril 2009). Il prend ainsi en considération l'évolution de la situation intervenue depuis le dépôt de la demande d'asile. In casu, l'objet du litige se limite à l'examen de la qualité de réfugié et de l'asile, dès lors que les intéressés ont été mis au bénéfice d'autorisations de séjour annuelles de police des étrangers (permis B) par décision du 26 juin 2008.</w:t>
      </w:r>
    </w:p>
    <w:p>
      <w:r>
        <w:rPr>
          <w:b/>
        </w:rPr>
        <w:t>E. 2</w:t>
      </w:r>
    </w:p>
    <w:p>
      <w:r>
        <w:t>L'intéressée a qualité pour recourir (art. 48 PA dans sa version en vigueur jusqu'au 31 décembre 2006) et le recours, respectant les exigences légales en la matière (art. 50 PA dans sa version introduite le 1er juin 1973, en vigueur jusqu'au 31 décembre 2006, et art. 52 al. 1 PA), est recevable.</w:t>
      </w:r>
    </w:p>
    <w:p>
      <w:r>
        <w:rPr>
          <w:b/>
        </w:rPr>
        <w:t>E. 3</w:t>
      </w:r>
    </w:p>
    <w:p>
      <w:r>
        <w:t>Par arrêt du même jour, rendu séparément pour des raisons d'opportunité et de clarté, le Tribunal se prononce en la cause de l'époux de l'intéressée.</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ou appropriée.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6.1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7.1.1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w:t>
      </w:r>
    </w:p>
    <w:p>
      <w:r>
        <w:rPr>
          <w:b/>
        </w:rPr>
        <w:t>E. 7.1.2</w:t>
      </w:r>
    </w:p>
    <w:p>
      <w:r>
        <w:t>Il faut rappeler que selon la pratique suivie jusqu'au début juin 2006 par les autorités suisses en matière d'asile, et qui était donc celle en vigueur au moment où l'ODM s'est prononcé en la cause (23 juillet 2002), des persécutions étaient déterminantes pour la reconnaissance de la qualité de réfugié uniquement si elles émanaient de l'État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40s., JICRA 1996 n° 18 consid. 3d/bb p. 171s., JICRA 1996 n° 16 consid. 4a p. 145). Dans une décision de principe du 8 juin 2006 (publiée sous JICRA 2006 n° 18 p. 181ss), la Commission, alors seule autorité de recours de dernière instance compétente en matière d'asile faut-il le rappeler, a toutefois modifié sa jurisprudence en écartant la théorie de l'imputabilité susmentionnée au profit de celle de la protection, selon laquelle une persécution privée réalisée dans un État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 ; cf. également arrêt du Tribunal administratif fédéral D-6607/2006 consid. 4.2 [p. 12s.] du 27 avril 2009).</w:t>
      </w:r>
    </w:p>
    <w:p>
      <w:r>
        <w:rPr>
          <w:b/>
        </w:rPr>
        <w:t>E. 7.1.3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7.1.4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 A cet égard, les conditions de vie défavorables (en termes d'intégration culturelle ou religieuse, ou en termes d'emploi) pouvant régner sur le lieu de refuge sont sans incidence. La question de l'exigibilité du séjour sur le lieu de refuge doit être analysée à la seule lumière des critères relatifs au caractère raisonnablement exigible de l'exécution du renvoi, selon l'art. 83 al. 4 de la loi fédérale sur les étrangers du 16 décembre 2005 (LEtr, RS 142.20 ; ATAF 2008/12 consid. 5.1 p. 154, ATAF 2007/31 consid. 5.2 p. 379 ; cf. également dans ce sens JICRA 2006 n° 32 consid. 5 p. 340 [i. l.], JICRA 2006 n° 25 consid. 7 p. 277, JICRA 2006 n° 18 consid. 6.1. p. 186 [i. l.], JICRA 2005 n° 21 consid. 7.3. et 11.1. p. 194 et 201s., JICRA 2005 n° 7 consid. 7.1. p. 70, JICRA 2005 n° 17 consid. 6.3. i. f. p. 155, JICRA 2001 n° 13 consid. 4c p. 105, JICRA 2000 n° 15 consid. 10-12 p. 119ss, JICRA 1996 n° 1 consid. 5d p. 7ss [spéc. consid. 5d/cc et dd p. 9ss]).</w:t>
      </w:r>
    </w:p>
    <w:p>
      <w:r>
        <w:rPr>
          <w:b/>
        </w:rPr>
        <w:t>E. 7.2.1</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7.2.2</w:t>
      </w:r>
    </w:p>
    <w:p>
      <w:r>
        <w:t>Il convient encore de rappeler, bien que cela ressorte de la plupart des jurisprudences qui viennent d'être mentionnées,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[i.f.] p. 171, JICRA 1995 n° 5 consid. 6a p. 43).</w:t>
      </w:r>
    </w:p>
    <w:p>
      <w:r>
        <w:rPr>
          <w:b/>
        </w:rPr>
        <w:t>E. 8.1</w:t>
      </w:r>
    </w:p>
    <w:p>
      <w:r>
        <w:t>Dans la décision qu'il a rendue le 23 juillet 2002, l'ODM a estimé que les motifs d'asile de l'intéressée, dans leur ensemble, n'étaient pas vraisemblables, essentiellement parce qu'ils étaient étroitement liés à ceux de son mari, considérés comme invraisemblables par décision séparée du même jour. Pour asseoir son argumentation, dit office a toutefois précisé qu'il n'était pas concevable que l'intéressée ait ignoré, au moment où elle avait demandé à I._______ d'intercéder en sa faveur, quelle était cette personne et quelle était sa fonction au sein de l'université, ceci en raison de son statut d'étudiante.</w:t>
      </w:r>
    </w:p>
    <w:p>
      <w:r>
        <w:rPr>
          <w:b/>
        </w:rPr>
        <w:t>E. 8.2</w:t>
      </w:r>
    </w:p>
    <w:p>
      <w:r>
        <w:t>Tout au long de la procédure de recours, l'intéressée s'est attachée à démontrer, d'une part, que les faits s'étaient déroulés de la manière dont elle les avait décrits, et d'autre part, que certains éléments qu'elle n'était pas parvenue à exprimer au cours des auditions rendaient sa situation encore plus délicate. Elle a ainsi précisé les conditions dans lesquelles elle avait été contrainte de discréditer son mari, de promettre de ne plus jamais le revoir et de (...), (...). Elle a également mis en exergue, au travers du dossier constitué par (...), que le fait qu'elle ait (...), puis qu'elle ait repris des relations avec son premier mari (...), l'exposait à de sérieuses difficultés en cas de retour en Iran, puisqu'elle y serait considérée comme une femme adultère. Elle ne trouverait ainsi aucune protection contre une intervention de I._______ auprès des autorités, d'autant qu'il (...). Enfin, elle a indiqué que les événements qu'elle avait dû endurer l'avaient gravement atteinte dans sa santé psychique, notamment parce qu'elle avait vécu les relations sexuelles qui lui avaient été imposées (...) comme des viols.</w:t>
      </w:r>
    </w:p>
    <w:p>
      <w:r>
        <w:rPr>
          <w:b/>
        </w:rPr>
        <w:t>E. 8.3</w:t>
      </w:r>
    </w:p>
    <w:p>
      <w:r>
        <w:t>Quant aux rapports de la personne de confiance à laquelle l'Ambassade de Suisse à Téhéran s'est adressée pour procéder aux investigations requises par la Commission dans le cadre de l'instruction de la cause, ils éludent une grande partie des questions posées et confirment pour l'essentiel les déclarations de l'intéressée en ce qui concerne la personnalité de I._______ Il y est également signalé, d'une part, qu'il n'est pas contraire aux moeurs en vigueur en Iran (...), et d'autre part, que la corruption de fonctionnaires est passible de sévères sanctions.</w:t>
      </w:r>
    </w:p>
    <w:p>
      <w:r>
        <w:rPr>
          <w:b/>
        </w:rPr>
        <w:t>E. 8.4</w:t>
      </w:r>
    </w:p>
    <w:p>
      <w:r>
        <w:t>Pour sa part, et contrairement à la solution adoptée par l'ODM, le Tribunal entend examiner les motifs d'asile allégués par l'intéressée pris pour eux-mêmes, ce d'autant que les motifs de l'époux s'inscrivent dans la chronologie et dans la logique de ceux de la recourante et non l'inverse.</w:t>
      </w:r>
    </w:p>
    <w:p>
      <w:r>
        <w:rPr>
          <w:b/>
        </w:rPr>
        <w:t>E. 8.4.1</w:t>
      </w:r>
    </w:p>
    <w:p>
      <w:r>
        <w:t>Ainsi, le Tribunal retient que le récit de l'intéressée, pris dans son ensemble, peut être qualifié de clair, précis, circonstancié et bien développé. En outre, il est resté dans ses grandes lignes et sur les points les plus importants constant et cohérent tout au long de la procédure. En particulier, aucune divergence n'apparaît entre l'audition, longue et détaillée, effectuée au CERA et celle qui s'est déroulée devant l'autorité cantonale, qu'il s'agisse du déroulement des études de l'intéressée, des premiers contacts de cette dernière avec I._______, de son parcours universitaire et des difficultés rencontrées, liées au rôle (...) qu'on voulait lui faire jouer, ainsi que des pressions et du voire des viols dont elle a été l'objet (...). De même, elle a d'emblée évoqué le contexte politique lié à son père, dont elle pense qu'il a eu des retombées sur ses études (...).</w:t>
      </w:r>
    </w:p>
    <w:p>
      <w:r>
        <w:rPr>
          <w:b/>
        </w:rPr>
        <w:t>E. 8.4.2</w:t>
      </w:r>
    </w:p>
    <w:p>
      <w:r>
        <w:t>A ces constatations d'ordre purement général vient s'ajouter le fait que l'anamnèse médicale confirme en grande partie les déclarations de l'intéressée, même si elle s'avère plus succincte et ne constitue, pour des raisons évidentes, qu'un condensé de celles-ci (cf. dans ce sens certificat médical du (...), p. 1). De plus, la nature même des douleurs et des troubles annoncés, soit notamment des troubles du sommeil, des cauchemars et des insomnies, (...), des troubles ou pertes de la mémoire et de la concentration, une grande nervosité, des maux de tête, des peurs inexpliquées, (...), et des troubles de l'alimentation (cf. dans ce sens certificat médical du (...), p. 2 ; rapport médical du (...), pt 1.2., p. 1s. ; rapport médical du (...), p. 2), ainsi que le diagnostic initialement posé d'un trouble obsessionnel compulsif avec rituels obsessionnels (F42.1 ; cf. dans ce sens certificat médical du (...), p. 2 et rapport médical du (...), pt 2, p. 2), accompagné d'abord d'un trouble anxieux et dépressif mixte (F41.2 ; cf. certificat médical précité, p. 2), puis d'un épisode dépressif sévère avec symptômes psychotiques (F32.3 ; cf. rapport médical précité, pt 2, p. 2), tendent à accréditer son récit selon lequel elle aurait été violée dans son pays. Certains des troubles annoncés attirent d'ailleurs particulièrement l'attention en raison de leurs caractéristiques spécifiques très frappantes et contrastées, oscillant d'un extrême à l'autre, (...). A souligner que le récit de l'intéressée, bien qu'il soit très détaillé, est exempt de toute divergence sur l'exposé des circonstances du viol. Enfin, son comportement durant les auditions révèle également, de manière constante, la charge émotionnelle du récit : (...). Au vu de l'ensemble de ces éléments, le Tribunal considère qu'il y a une conjonction de facteurs permettant d'admettre la réalité de violences sexuelles subies avant la fuite. Reste à savoir si ces violences se sont bien produites selon une haute probabilité dans un contexte décisif au regard de l'art. 3 LAsi.</w:t>
      </w:r>
    </w:p>
    <w:p>
      <w:r>
        <w:rPr>
          <w:b/>
        </w:rPr>
        <w:t>E. 8.4.3</w:t>
      </w:r>
    </w:p>
    <w:p>
      <w:r>
        <w:t>Comme il vient d'être exposé (cf. pt 8.4.1 supra), le récit présenté est de manière générale crédible. La recourante a été à même de fournir des indications précises en relation avec son vécu lors des auditions et suite à la requête de la Commission du 17 août 2004 (cf. courrier du 31.08.04 et ses annexes). Les informations factuelles fournies ont été confirmées par l'Ambassade de Suisse à Téhéran (cf. annexes à la décision incidente du 01.12.05). Certes, l'Ambassade précitée n'a pas répondu à certaines questions posées (cf. les questions 3, 6 et 7), alors qu'il s'agit de questions importantes. Toutefois, on ne saurait imputer à la partie une telle absence d'informations, ce d'autant que l'Ambassade n'a pas été en mesure de répondre à ces questions même sollicitée une seconde fois par la Commission (cf. lettre du 20.06.05 faisant référence à la nouvelle requête du 01.04.05). Il ressort donc du dossier un contexte de difficultés manifestes pour éclaircir les faits déterminants, difficultés qui peuvent être interprétées in casu comme un indice supplémentaire que le récit présenté est crédible. En effet, au vu de la durée des recherches effectuées sur place, soit (...), et des nombreuses questions qui n'ont pas été abordées ou, du moins, auxquelles aucune réponse n'a pu être apportée, il appert que la personne chargée de procéder aux investigations a dû se trouver confrontée à un certain nombre d'obstacles l'empêchant de collecter les informations souhaitées. Toutes les questions délicates ont ainsi été esquivées, y compris celles relatives à l'engagement politique de la famille de l'intéressée. Pour le Tribunal, il s'agit d'apprécier cet élément dans le contexte global de la cause. De façon générale, la procédure administrative fédérale est régie par le principe de la libre appréciation des preuves (art. 40 de la loi fédérale de procédure civile fédérale du 4 décembre 1947 [PCF ; RS 273], applicable par renvoi de l'art. 19 PA ; cf. aussi ATAF 2008/46 consid. 5.4.1 p. 662 ; JICRA 2003 n° 14 consid. 7 p. 89). Ce principe prévaut également devant le Tribunal (art. 37 LTAF ; ATAF 2008/46 consid. 5.4.1 p. 662).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fédéral 1C_294/2007 consid. 3.5 du 30 novembre 2007). In casu, on ne peut reprocher à la partie une violation de son devoir de collaborer (art. 13 PA). Elle a spontanément fourni les informations requises lorsqu'elle en a été sollicitée. Les faits décisifs en la cause, soit l'existence d'un ou de plusieurs viols émanant (...), sont impossibles à établir au moyen de documents écrits. Dans ces circonstances, les renseignements fournis par la partie qui sont également des moyens de preuve pertinents prévus par la loi (art. 12 let. b PA), revêtent une importance particulière, voire décisive pour l'issue de la cause. Or, ces renseignements doivent être considérés in casu de manière générale comme crédibles. Par conséquent, dans l'appréciation à laquelle il y a lieu de procéder, il faut donner la préférence au récit cohérent, consistant et crédible de la recourante. On ne peut en l'espèce interpréter le manque d'informations de la représentation suisse au détriment de la partie. On le peut d'autant moins que le récit de l'époux de la recourante s'insert bien au niveau de la chronologie dans celle du récit rapporté par cette dernière. Certes, l'époux de la recourante a produit un document à l'authenticité douteuse (cf. (...)). Toutefois, selon le récit présenté par l'intéressé, il apparaît douteux que ce dernier (...). Dans ce contexte, il n'apparaît pas étonnant que les moyens de preuve dont il peut disposer n'émanent pas d'organes étatiques réguliers. On ne saurait en déduire pour autant et de manière automatique que ces organes parallèles ne jouissent pas d'un réel pouvoir de nuisance au sein de la société iranienne, pouvoir d'autant plus important à l'égard de personnes qui ne bénéficient d'aucun soutien auprès d'autorités officielles, parce que comme en l'espèce la famille est jugée opposée au pouvoir en place. Dans le cas présent en effet, il apparaît que le père de l'intéressée (...) et la mère (...), (...). S'ajoutent à ces éléments les divers documents produits tendant à montrer l'engagement politique (...) en Iran dans le cadre de (...) (cf. notamment un document (...), dont l'authenticité n'a pas non plus été remise en cause par la représentation suisse). Dans ces conditions, il apparaît crédible que la recourante, même si elle avait voulu se plaindre aux autorités des pressions subies de la part de I._______, n'aurait pas obtenu une protection appropriée de leur part.</w:t>
      </w:r>
    </w:p>
    <w:p>
      <w:r>
        <w:rPr>
          <w:b/>
        </w:rPr>
        <w:t>E. 8.5</w:t>
      </w:r>
    </w:p>
    <w:p>
      <w:r>
        <w:t>Au vu du dossier, et contrairement à ce que soutient l'ODM, le Tribunal considère que la vraisemblance des allégations de l'intéressée est établie. De toute évidence, celle-ci remplissait les conditions de la qualité de réfugiée au moment de son départ du pays. Sa situation ne lui permettait pas de trouver aide et protection auprès des autorités iraniennes contre les graves préjudices dont elle avait été victime par un tiers. En effet, (...), sans compter le fait qu'elle appartient à une famille considérée comme étant dans l'opposition et qui a été sanctionnée pour cela. Dans ces conditions, et en l'absence de tous nouveaux éléments qui permettraient de tirer une conclusion allant en sens contraire, le risque qu'elle soit à nouveau victime de préjudices subsiste, et elle peut ainsi se prévaloir d'une crainte objectivement fondée de persécution future, déterminante au regard de l'art. 3 LAsi, en cas de retour dans son pays d'origine.</w:t>
      </w:r>
    </w:p>
    <w:p>
      <w:r>
        <w:rPr>
          <w:b/>
        </w:rPr>
        <w:t>E. 8.6.1</w:t>
      </w:r>
    </w:p>
    <w:p>
      <w:r>
        <w:t>En conséquence, il y a lieu de reconnaître à l'intéressée la qualité de réfugiée, au sens de la disposition précitée. En outre, en l'absence de tout motif d'exclusion (art. 49, art. 52, art. 53 et art. 54 LAsi, art. 1 F de la Convention relative au statut des réfugiés du 28 juillet 1951 [Conv., RS 0.142.30]), l'asile doit lui être octroyé, en application de l'art. 2 LAsi.</w:t>
      </w:r>
    </w:p>
    <w:p>
      <w:r>
        <w:rPr>
          <w:b/>
        </w:rPr>
        <w:t>E. 8.6.2</w:t>
      </w:r>
    </w:p>
    <w:p>
      <w:r>
        <w:t>Par ailleurs, dans la mesure où aucune circonstance particulière ne s'y oppose, ses enfants se voient également reconnaître la qualité de réfugiés et accorder l'asile, conformément à l'art. 51 al. 1 LAsi.</w:t>
      </w:r>
    </w:p>
    <w:p>
      <w:r>
        <w:rPr>
          <w:b/>
        </w:rPr>
        <w:t>E. 9</w:t>
      </w:r>
    </w:p>
    <w:p>
      <w:r>
        <w:t>Le recours du 22 août 2002 est ainsi admis, la décision du 23 juillet 2002 annulée et l'ODM invité à accorder l'asile à l'intéressée et à ses enfants.</w:t>
      </w:r>
    </w:p>
    <w:p>
      <w:r>
        <w:rPr>
          <w:b/>
        </w:rPr>
        <w:t>E. 10.1</w:t>
      </w:r>
    </w:p>
    <w:p>
      <w:r>
        <w:t>Vu l'issue de la procédure, il n'est pas perçu de frais (art. 63 al. 1 et 2 PA), de sorte que la demande d'assistance judiciaire partielle est sans objet.</w:t>
      </w:r>
    </w:p>
    <w:p>
      <w:r>
        <w:rPr>
          <w:b/>
        </w:rPr>
        <w:t>E. 10.2</w:t>
      </w:r>
    </w:p>
    <w:p>
      <w:r>
        <w:t>Par ailleurs, l'intéressée peut prétendre à l'allocation de dépens aux conditions des art. 64 al. 1 PA, 7 al. 1, 8, 9 al. 1 et 10 al. 1 et 2 du règlement concernant les frais, dépens et indemnités fixés par le Tribunal administratif fédéral du 21 février 2008 (FITAF, RS 173.320.2). Le Tribunal fixant les dépens d'office et sur la base du dossier en l'absence de toute note détaillée de la partie à cet effet (art. 14 al. 2 FITAF), il s'avère adéquat d'allouer en la cause, eu égard au travail effectif accompli par les mandataires successifs de l'intéressée, un montant de Fr. 1'200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