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D-7037/2023 vom 9. Januar 2024</w:t>
      </w:r>
    </w:p>
    <w:p>
      <w:r>
        <w:t>Bundesverwaltungsgericht, 2024-01-09, DE</w:t>
      </w:r>
    </w:p>
    <w:p>
      <w:r>
        <w:rPr>
          <w:b/>
        </w:rPr>
        <w:t xml:space="preserve">Quelle: </w:t>
      </w:r>
      <w:r>
        <w:t>https://mcp.opencaselaw.ch/entscheid/bvger_D-7037_2023</w:t>
      </w:r>
    </w:p>
    <w:p>
      <w:r>
        <w:t>FR: TAF D-7037/2023 du 9 janvier 2024</w:t>
      </w:r>
    </w:p>
    <w:p>
      <w:r>
        <w:t>IT: TAF D-7037/2023 del 9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Die Beschwerdeführerin hat am Verfahren vor der Vorinstanz teilgenommen, ist durch die angefochtene Verfügung besonders berührt und hat - da sie ihren Aufenthaltsort in der Beschwerdeeingabe bekannt gegeben hat - ein schutzwürdiges Interesse an deren Aufhebung beziehungsweise Änderung. Sie ist daher zur Einreichung der Beschwerde legitimiert (Art. 48 Abs. 1 VwVG). Auf die frist- und formgerecht eingereichte Beschwerde ist somit einzutreten (Art. 108 Abs. 3 AsylG und Art. 52 Abs. 1 VwVG).</w:t>
      </w:r>
    </w:p>
    <w:p>
      <w:r>
        <w:rPr>
          <w:b/>
        </w:rPr>
        <w:t>E. 1.3</w:t>
      </w:r>
    </w:p>
    <w:p>
      <w:r>
        <w:t>Das Verfahren richtet sich nach dem VwVG, dem VGG und dem BGG, soweit das AsylG nichts anderes bestimmt (Art. 37 VVG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In der Beschwerdeeingabe (vgl. S. 2 [Rechtsbegehren 2], S. 6 und S. 14) wird eine nicht rechtsgenügliche Sachverhaltsermittlung beziehungsweise eine Verletzung der Untersuchungs- und Begründungspflicht durch die Vorinstanz gerügt. So habe das SEM in seinem Entscheid die systemischen Schwachstellen im kroatischen Asylsystem und insbesondere die besondere Vulnerabilität von LGBTQI+-Personen unzureichend berücksichtigt. Diese formellen Rügen sind vorab zu prüfen, da sie gegebenenfalls geeignet sind, eine Kassation der vorinstanzlichen Verfügung zu bewirken (vgl. BVGE 2013/34 E. 4.2).</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Der Anspruch auf rechtliches Gehör (Art. 29 VwVG) verlangt von der Behörde, dass sie die Vorbringen der Betroffenen tatsächlich hört, ernsthaft prüft und in ihrer Entscheidfindung angemessen berücksichtigt (Art. 32 Abs. 1 VwVG).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(vgl. BGE 136 I 184 E. 2.2.1, 126 I 97 E. 2b).</w:t>
      </w:r>
    </w:p>
    <w:p>
      <w:r>
        <w:rPr>
          <w:b/>
        </w:rPr>
        <w:t>E. 4.3</w:t>
      </w:r>
    </w:p>
    <w:p>
      <w:r>
        <w:t>Aus den Akten ergeben sich keine Anhaltspunkte dafür, dass die Vorinstanz ihrer Pflicht zur korrekten und vollständigen Abklärung des rechtserheblichen Sachverhalts oder auch ihrer Begründungspflicht nicht ausreichend nachgekommen ist. So hat sie sich sehr wohl mit der allgemeinen Lage von Asylsuchenden in Kroatien auseinandergesetzt und festgestellt, dass sie aufgrund von mehrfach durchgeführten umfangreichen Abklärungen durch die Schweizer Botschaft, der Konsultation von öffentlichen Quellen und persönlichen Gesprächen mit verschiedenen Akteuren (Ministerien, UNHCR, lokale Nichtregierungsorganisationen, diplomatische Vertretungen etc.) zum Schluss komme, dass Dublin-Rückkehrende in Kroatien Zugang zu einem rechtsstaatlichen Asyl- und Wegweisungsverfahren haben. Sie hat systemische Schwachstellen im kroatischen Asylsystem insgesamt verneint (vgl. angefochtene Verfügung S. 3 und 5 f.). Des Weiteren hat sie sich auch mit der Situation von bisexuellen beziehungsweise LGBTQI+-Personen sowie mit der Behandelbarkeit der von der Beschwerdeführerin geltend gemachten physischen und psychischen Probleme in Kroatien befasst (vgl. angefochtene Verfügung S. 6-9). Eine Verletzung des Untersuchungsgrundsatzes oder der Begründungspflicht ist nicht erkennbar.</w:t>
      </w:r>
    </w:p>
    <w:p>
      <w:r>
        <w:rPr>
          <w:b/>
        </w:rPr>
        <w:t>E. 4.4</w:t>
      </w:r>
    </w:p>
    <w:p>
      <w:r>
        <w:t>Nach dem Gesagten erweisen sich die verfahrensrechtlichen Rügen der Beschwerdeführerin als unbegründet. Der Eventualantrag auf Rückweisung der Sache an die Vorinstanz zur Neubeurteilung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Die Beschwerdeführerin erklärte anlässlich des Dublin-Gesprächs zwar, in Slowenien zur Stellung eines Asylgesuchs gezwungen worden zu sein (vgl. SEM-Akten 1267957-16 S. 1). Der Abgleich ihrer Fingerabdrücke mit der Eurodac-Datenbank ergab indes, dass sie lediglich am 12. Juli 2023 in Kroatien - nicht aber in Slowenien - als Asylsuchende registriert worden war. Die kroatischen Behörden stimmten sodann ihrer Übernahme am 22. August 2023 gestützt auf Art. 20 Abs. 5 Dublin-III-VO ausdrücklich zu. Damit ist die Zuständigkeit Kroatiens grundsätzlich gegeben und wird von der Beschwerdeführerin auch nicht in Abrede gestellt.</w:t>
      </w:r>
    </w:p>
    <w:p>
      <w:r>
        <w:rPr>
          <w:b/>
        </w:rPr>
        <w:t>E. 6.1</w:t>
      </w:r>
    </w:p>
    <w:p>
      <w:r>
        <w:t>Erweist es sich als unmöglich, einen Antragsteller oder eine Antragstellerin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Es darf davon ausgegangen werden, dieser Staat komme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Im Referenzurteil des BVGer E-1488/2020 vom 22. März 2023 hat das Bundesverwaltungsgericht die seit dem Referenzurteil D-1611/2016 vom 22. März 2016 bestehende Praxis der grundsätzlichen Zulässigkeit von Dublin-Überstellungen nach Kroatien bestätigt. Im Ergebnis sei davon auszugehen, dass Gesuchstellende, die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6.4</w:t>
      </w:r>
    </w:p>
    <w:p>
      <w:r>
        <w:t>Selbst unter Berücksichtigung der auf Beschwerdeebene zitierten Berichte sowie der von der Beschwerdeführerin geschilderten Erlebnisse ist nicht davon auszugehen, Kroatien verstosse zum heutigen Zeitpunkt systematisch gegen seine vertraglichen Verpflichtungen als zuständiger Dublin-Mitgliedstaat im Falle einer Rücküberstellung von Asylsuchenden. Bei Fehlverhalten einzelner Beamter oder Privatpersonen kann sich die Beschwerdeführerin mit Hilfe der vor Ort tätigen karitativen Organisationen an die zuständigen kroatischen Stellen wenden. Allein der Umstand, dass solche Schritte in Kroatien allenfalls mit grösseren Hürden und Schwierigkeiten als in der Schweiz verbunden sind, vermag noch keine systemischen Schwachstellen im kroatischen Asyl- und Aufnahmeverfahren zu begründen (vgl. statt vieler Urteil des BVGer F-6669/2023 vom 21. Dezember 2023 E. 7).</w:t>
      </w:r>
    </w:p>
    <w:p>
      <w:r>
        <w:rPr>
          <w:b/>
        </w:rPr>
        <w:t>E. 6.5</w:t>
      </w:r>
    </w:p>
    <w:p>
      <w:r>
        <w:t>Im Lichte der vorstehenden Erwägungen erweisen sich die Ausführungen in der Beschwerdeschrift (vgl. S. 6 ff.) zur Push-back-Problematik beziehungsweise zur Situation in Kroatien als nicht stichhaltig.</w:t>
      </w:r>
    </w:p>
    <w:p>
      <w:r>
        <w:rPr>
          <w:b/>
        </w:rPr>
        <w:t>E. 6.6</w:t>
      </w:r>
    </w:p>
    <w:p>
      <w:r>
        <w:t>Es ist in diesem Zusammenhang auch darauf hinzuweisen, dass das Dublin-System auf klaren Zuständigkeitsregeln beruht und den Gesuchstellenden kein Recht einräumt, den ihren Antrag prüfenden Staat selbst auszuwählen (vgl. BVGE 2010/45 E. 8.3). Auch der Umstand, dass die Beschwerdeführerin in der Schweiz angeblich bereits mehrere Frauen kennt (vgl. SEM-Akten 1267957-16 S. 2), vermag keine Zuständigkeit zu begründen.</w:t>
      </w:r>
    </w:p>
    <w:p>
      <w:r>
        <w:rPr>
          <w:b/>
        </w:rPr>
        <w:t>E. 6.7</w:t>
      </w:r>
    </w:p>
    <w:p>
      <w:r>
        <w:t>Nach dem Gesagten ist eine Übernahme der Zuständigkeit Kroatiens gestützt auf Art. 3 Abs. 2 Dublin-III-VO nicht angezeigt.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In der Beschwerdeschrift (vgl. S. 10 und 13 f.) wird implizit die Anwendung der Ermessensklausel von Art. 17 Abs. 1 Dublin-III-VO beziehungsweise der Bestimmung von Art. 29a Abs. 3 AsylV 1 verlangt. Die Beschwerdeführerin macht geltend, von kroatischen Polizisten schlecht behandelt und nicht ausreichend versorgt worden zu sein. Zudem sei sie aufgrund ihrer Zugehörigkeit zur LGBTQI+-Gruppe, welche - wie durch die in der Beschwerdeschrift erwähnten Berichte dokumentiert - in Kroatien massiver Diskriminierung und Gewalt ausgesetzt sei, und ihrer gesundheitlichen Probleme besonders vulnerabel. So leide sie unter (...) sowie unter (...) und unter einer (...). Sowohl zur Behandlung der (...) als auch der psychischen Probleme seien Medikamente verordnet worden; gegen die (...) "(...)" täglich. Demgegenüber hätten Abklärungen bezüglich des (...) zwar keinen dringenden Bedarf nach einer (...) ergeben; es sei jedoch eine ergänzende Evaluation mit einem (...) empfohlen worden (vgl. Beschwerde S. 10).</w:t>
      </w:r>
    </w:p>
    <w:p>
      <w:r>
        <w:rPr>
          <w:b/>
        </w:rPr>
        <w:t>E. 7.3</w:t>
      </w:r>
    </w:p>
    <w:p>
      <w:r>
        <w:t>Das Bundesverwaltungsgericht verkennt im Sinne der von der Beschwerdeführerin geschilderten Erlebnisse nicht, dass der Empfang und die Aufnahmebedingungen für Asylsuchende in Kroatien problematisch sein können. Die Beschwerdeführerin hat indessen - bereits angesichts der expliziten Zusicherung der Wiederaufnahme durch Kroatien -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ihr bei einer Rückführung erwartenden Bedingungen in Kroatien seien derart schlecht, dass sie zu einer Verletzung von Art. 4 der EU-Grundrechtecharta, Art. 3 EMRK oder Art. 3 FoK führen könnten. Bei einer allfälligen vorübergehenden Einschränkung der ihr zustehenden Aufnahmebedingungen könnte sie sich an die kroatischen Behörden wenden und ihre Rechte auf dem Rechtsweg einfordern (vgl. Art. 26 Aufnahmerichtlinie). Im Übrigen steht der Beschwerdeführerin die Möglichkeit offen, die vor Ort tätigen karitativen Organisationen zu kontaktieren. Mit der in der Beschwerde (vgl. S. 8 oben) angesprochenen Problematik an der kroatischen Grenze ist im Weiteren nichts zur vorliegend interessierenden Situation der Rückkehr nach Kroatien nach Durchlaufen eines Dublin-Verfahrens gesagt (vgl. Urteile des BVGer D-1428/2023 vom 7. Juli 2023 E. 6.3 m.w.H.). Die Beschwerdeführerin wird sich nach der Dublin-Überstellung in einer anderen Situation befinden als bei ihrer Einreise nach Kroatien. Das Bundesverwaltungsgericht geht davon aus, dass Kroatien als Rechtsstaat mit einem funktionierenden Justizsystem einzustufen ist. Folglich ist von der grundsätzlichen Schutzwilligkeit und Schutzfähigkeit dieses Staates auszugehen. Dies gilt auch in Bezug auf allfällige Übergriffe seitens Dritter.</w:t>
      </w:r>
    </w:p>
    <w:p>
      <w:r>
        <w:rPr>
          <w:b/>
        </w:rPr>
        <w:t>E. 7.4.1</w:t>
      </w:r>
    </w:p>
    <w:p>
      <w:r>
        <w:t>Was den medizinischen Sachverhalt anbelangt, so kann eine zwangsweise Rückweisung von Personen mit gesundheitlichen Problemen nur ausnahmsweise einen Verstoss gegen Art. 3 EMRK darstellen.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7.4.2</w:t>
      </w:r>
    </w:p>
    <w:p>
      <w:r>
        <w:t>Eine solche Situation ist vorliegend nicht gegeben. Die Beschwerdeführerin war offenbar bereits ein halbes Jahr vor ihrer Einreise in die Schweiz (mithin noch in der Türkei) wegen "(...)" in regelmässiger psychologischer Behandlung (vgl. Beschwerde S. 10). Gemäss den sich bei den Akten befindenden Unterlagen leidet die Beschwerdeführerin unter (...), vereinbar mit (...), sowie unter (...). Die physischen und auch die psychischen Beschwerden werden medikamentös (mit "[...]" und "[...]" beziehungsweise "[...]") behandelt; bis zu ihrem wiederholten Untertauchen bestand auch regelmässiger Kontakt mit den (...). Die dargestellten Befunde sind nicht zu verharmlosen, stellen allerdings keine derart gravierenden Erkrankungen in dem Sinne dar, als sie nicht in Kroatien (weiter)behandelt werden könnten. Das gilt sowohl bezüglich der physischen als auch der psychiatrischen Befunde. Kroatien verfügt grundsätzlich über eine ausreichende medizinische Infrastruktur. Gemäss Art. 15 «Zakon o me unarodnoj i privremenoj zastiti» (ZMPZ; Gesetz über internationalen und vorübergehenden Schutz) sollen vulnerable Asylsuchende aufgrund ihrer individuellen Situation (Alter, Geschlecht, sexuelle Orientierung, Behinderung, schwere Erkrankung, psychischer Gesundheitszustand, Opfer von Folter, Vergewaltigung oder anderweitiger physischer, psychischer oder sexueller Gewalt) in geeigneter Weise unterstützt werden. Vulnerable Personen sollen von den kroatischen Behörden (Polizisten, Mitarbeiter/Sozialarbeiter der Empfangszentren, Vertreter von NGOs) möglichst früh erkannt und entsprechend betreut werden. Auch das Kroatische Rote Kreuz identifiziert und unterstützt vulnerable Asylsuchende, die in den Empfangszentren untergebracht sind, in psychosozialer Hinsicht (vgl. Asylum Information Database [AIDA], Country Report: Croatia, 2021 Update, S. 59). Im Empfangszentrum Zagreb können sich Asylsuchende an ein vom Innenministerium bezeichnetes Ambulatorium wenden, in dem hausärztliche Hilfe in Anspruch genommen werden kann. Für vulnerable Personen haben das Gesundheitsministerium und lokale Gesundheitszentren spezialisierte Ambulatorien bezeichnet, unter denen sich das psychiatrische Krankenhaus von Zagreb befindet. In Zagreb wurde auch eine Apotheke bestimmt, an die sich Asylsuchende wenden können. Weitere Unterstützung beim Zugang zu Gesundheitseinrichtungen leisten Sozialarbeiter und Dolmetscher im Rahmen von Übersetzungen, Informationsweitergabe und beim Organisieren von Krankentransporten. Im Empfangszentrum von Zagreb stehen an Werktagen zwei Psychologen zur Verfügung, die bei Bedarf auch notfallmässig Hilfe leisten. Ein externer Psychiater besucht das Zentrum dreimal monatlich (vgl. AIDA, a.a.O., S. 92 f.). Somit bestehen nebst den staatlichen Einrichtungen auch Angebote von Nichtregierungsorganisationen für die psychische Betreuung, womit von einem genügenden psychologischen Behandlungsangebot auszugehen ist (vgl. etwa Urteil des BVGer D-6899/2023 vom 20. Dezember 2023 E. 7.5.4 m.w.H.). Bezüglich des Zugangs zum Gesundheitssystem ist somit - entgegen der abweichenden Einschätzung in der Beschwerdeschrift (vgl. Beschwerde S. 11-13) - nach wie vor nicht davon auszugehen, dass Kroatien seinen Verpflichtungen im Rahmen der Dublin-III-VO in medizinischer Hinsicht in genereller Weise nicht nachkommen könnte beziehungsweise nicht nachkommen wollte. Zusammenfassend bleibt festzuhalten, dass keine hinreichenden Anhaltspunkte dafür vorliegen, wonach die Gesundheit der Beschwerdeführerin bei einer Überstellung nach Kroatien ernsthaft gefährdet würde. Anzumerken bleibt, dass die schweizerischen Behörden, die mit dem Vollzug der angefochtenen Verfügung beauftragt sind, den medizinischen Umständen bei der Bestimmung der konkreten Modalitäten der Überstellung der Beschwerdeführerin Rechnung tragen und die kroatischen Behörden vorgängig über die spezifischen medizinischen Umstände informieren werden (vgl. Art. 31 f. Dublin-III-VO).</w:t>
      </w:r>
    </w:p>
    <w:p>
      <w:r>
        <w:rPr>
          <w:b/>
        </w:rPr>
        <w:t>E. 7.5</w:t>
      </w:r>
    </w:p>
    <w:p>
      <w:r>
        <w:t>Die sexuelle Orientierung der Beschwerdeführerin beziehungsweise ihre Zugehörigkeit zur LGBTQI+-Gruppe (sie bezeichnet sich selber stets als bisexuell und nicht etwa - wie in der Eingabe der damaligen Rechtsvertretung vom 2. Oktober 2023 bemerkt wurde - als "non-binäre Transperson") steht ihrer Überstellung nach Kroatien ebenfalls nicht entgegen. Gemäss den Erkenntnissen des Bundesverwaltungsgerichts hat Kroatien die Rechte und den Schutz von homosexuellen Personen im Zusammenhang mit dem am 1. Juli 2013 erfolgten EU-Beitritt massiv verbessert (vgl. etwa Urteil des BVGer D-1551/2023 vom 28. März 2023 E. 5.4.3). So trat im Jahr 2014 mit dem "Same Sex Life-Partnership Act" eines der fortschrittlichsten Partnerschaftsgesetze Europas in Kraft, welches Homosexuellen mit Ausnahme der Adoption dieselben Rechte wie Heterosexuellen garantiert. Das Gesetz implementiert den Diskriminierungsschutz auch im Bereich von Asyl- und Ausländerrecht (vgl. https://www.thepinknews.com/2014/07/15/croatia-passes-civil-partnerships-law/ &gt;, abgerufen am 29.12.2023). Schliesslich sprach das Verwaltungsgericht am 26. Mai 2022 in einem wegweisenden Entscheid einem gleichgeschlechtlichen Paar das Recht auf Adoption zu (vgl. &lt; https://www.ilga-europe.org/report/annual-review-2023/ &gt;, abgerufen am 29.12.2023). Zwar können Diskriminierungen und Übergriffe von Drittpersonen auf Angehörige der LGBTQI+-Gruppen in Kroatien - wie auch in anderen europäischen Ländern - nach wie vor nicht gänzlich ausgeschlossen werden. Dennoch ist mit dem SEM davon auszugehen, dass die Beschwerdeführerin in Kroatien bei den zuständigen Stellen Unterstützung und Schutz finden wird, sollte sie durch Behörden oder Privatpersonen schlecht behandelt werden. Ihren Ausführungen sind denn auch keine stichhaltigen Anhaltspunkte dafür zu entnehmen, dass die kroatischen Behörden im konkreten Fall ihren Verpflichtungen nicht nachkommen und ihr den benötigten Schutz nicht gewähren würden.</w:t>
      </w:r>
    </w:p>
    <w:p>
      <w:r>
        <w:rPr>
          <w:b/>
        </w:rPr>
        <w:t>E. 7.6</w:t>
      </w:r>
    </w:p>
    <w:p>
      <w:r>
        <w:t>Nach dem Gesagten konnte die Beschwerdeführerin kein konkretes und ernsthaftes Risiko dartun, wonach ihre Überstellung nach Kroatien die Verletzung völkerrechtlicher Bestimmungen zur Folge hätte.</w:t>
      </w:r>
    </w:p>
    <w:p>
      <w:r>
        <w:rPr>
          <w:b/>
        </w:rPr>
        <w:t>E. 7.7</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Kroatien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Aus den vorstehenden Erwägungen ergibt sich, dass die angefochtene Verfügung Bundesrecht nicht verletzt und den rechtserheblichen Sachverhalt richtig sowie vollständig feststellt. Die Beschwerde ist aufgrund des Gesagten abzuweisen und die Verfügung des SEM zu bestätigen.</w:t>
      </w:r>
    </w:p>
    <w:p>
      <w:r>
        <w:rPr>
          <w:b/>
        </w:rPr>
        <w:t>E. 11</w:t>
      </w:r>
    </w:p>
    <w:p>
      <w:r>
        <w:t>Mit vorliegendem Urteil ist das Beschwerdeverfahren abgeschlossen, weshalb sich die Anträge auf Gewährung der aufschiebenden Wirkung der Beschwerde und auf Verzicht auf die Erhebung eines Kostenvorschusses als gegenstandslos erweisen. Der angeordnete Vollzugsstopp fällt dahin.</w:t>
      </w:r>
    </w:p>
    <w:p>
      <w:r>
        <w:rPr>
          <w:b/>
        </w:rPr>
        <w:t>E. 12</w:t>
      </w:r>
    </w:p>
    <w:p>
      <w:r>
        <w:t>Bei diesem Ausgang des Verfahrens wären die Kosten grundsätzlich der Beschwerdeführerin aufzuerlegen (Art. 63 Abs. 1 VwVG). Das mit Beschwerdeeingabe vom 13. Dezember 2023 gestellte Gesuch um Gewährung der unentgeltlichen Prozessführung gemäss Art. 65 Abs. 1 VwVG ist gutzuheissen, da die Beschwerdebegehren nicht als aussichtslos bezeichnet werden können und aufgrund der Akten von der Bedürftigkeit der Beschwerdeführerin auszugehen ist. Von der Kostenerhebung ist somit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