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D-7035/2024 vom 1. Dezember 2025</w:t>
      </w:r>
    </w:p>
    <w:p>
      <w:r>
        <w:t>Bundesverwaltungsgericht, 2025-12-01, IT</w:t>
      </w:r>
    </w:p>
    <w:p>
      <w:r>
        <w:rPr>
          <w:b/>
        </w:rPr>
        <w:t xml:space="preserve">Quelle: </w:t>
      </w:r>
      <w:r>
        <w:t>https://mcp.opencaselaw.ch/entscheid/bvger_D-7035_2024</w:t>
      </w:r>
    </w:p>
    <w:p>
      <w:r>
        <w:t>FR: TAF D-7035/2024 du 1 décembre 2025</w:t>
      </w:r>
    </w:p>
    <w:p>
      <w:r>
        <w:t>IT: TAF D-7035/2024 del 1 dicembre 2025</w:t>
      </w:r>
    </w:p>
    <w:p>
      <w:pPr>
        <w:pStyle w:val="Heading2"/>
      </w:pPr>
      <w:r>
        <w:t>Regeste</w:t>
      </w:r>
    </w:p>
    <w:p>
      <w:r>
        <w:t>Asilo e allontanamento (procedura celere)</w:t>
      </w:r>
    </w:p>
    <w:p>
      <w:pPr>
        <w:pStyle w:val="Heading2"/>
      </w:pPr>
      <w:r>
        <w:t>Erwägungen</w:t>
      </w:r>
    </w:p>
    <w:p>
      <w:r>
        <w:rPr>
          <w:b/>
        </w:rPr>
        <w:t>E. 1</w:t>
      </w:r>
    </w:p>
    <w:p>
      <w:r>
        <w:t>D-7035/2024 Pagina 5</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3.1</w:t>
      </w:r>
    </w:p>
    <w:p>
      <w:r>
        <w:t>Il ricorrente, nel suo gravame, propone quale conclusione ancora più subordinata (cfr. ricorso, cifra 4 delle conclusioni, pag. 14), la restituzione degli atti alla SEM per complemento istruttorio e per un nuovo esame delle sue allegazioni in procedura ampliata. A tenore delle sue argomentazioni ricorsuali, l’insorgente si lamenta dapprima che l’autorità sindacata, nella valutazione della verosimiglianza dei suoi asserti, non avrebbe tenuto conto né della sua minore età né del suo stato d’animo, dovuto anche al suo stato di salute che avrebbe influito sulla sua capacità espositiva. Al- tresì, l’autorità inferiore avrebbe dovuto esaminare l’ipotesi di una persecu- zione riflessa nei suoi confronti a causa delle problematiche con la giustizia turca della sorellastra che ora vive in Svizzera. Peraltro la SEM, sia per il fatto che non avrebbe in alcun modo tenuto in considerazione la presenza di un’ampia rete famigliare in Svizzera per il ricorrente e che avrebbe do- vuto svolgere ulteriori analisi in merito al contesto famigliare dell’insorgente in Turchia ed in Svizzera, sia poiché il delicato stato psicologico del ricor- rente non sarebbe stato ancora istruito, sarebbe scaduta in un accerta- mento incompleto dei fatti rilevanti per la causa (cfr. art. 106 cpv. 1 lett. b LAsi e 12 PA; cfr. per la nozione di accertamento inesatto ed incompleto: DTAF 2014/2 consid. 5.1, 2007/37 consid. 2.3; e per il contenuto del prin- cipio inquisitorio: DTAF 2020 VI/6 consid. 2.2, 2019 I/6 consid. 5.1). Per i predetti motivi, e vista anche la complessità del caso, il ricorrente ritiene poi che lo stesso avrebbe dovuto essere assegnato alla procedura am- pliata, perché venissero istruite in modo esaustivo la verosimiglianza e la</w:t>
      </w:r>
    </w:p>
    <w:p>
      <w:r>
        <w:t>D-7035/2024 Pagina 6 rilevanza dei suoi motivi d’asilo, come pure la questione dell’esecuzione del suo allontanamento.</w:t>
      </w:r>
    </w:p>
    <w:p>
      <w:r>
        <w:rPr>
          <w:b/>
        </w:rPr>
        <w:t>E. 3.2.1</w:t>
      </w:r>
    </w:p>
    <w:p>
      <w:r>
        <w:t>L’audizione di un RMNA deve in principio svolgersi in presenza di un curatore o di un rappresentante del medesimo, in un clima di fiducia e con dei quesiti adatti alla sua età (cfr. DTAF 2014/30 consid. 2.3). Ai sensi dell’art. 7 cpv. 5 dell’ordinanza 1 sull’asilo relativa a questioni procedurali dell’11 agosto 1999 (OAsi 1, RS 142.311), le persone incaricate dell’audi- zione di richiedenti l’asilo minorenni devono tenere conto degli aspetti spe- cifici della minore età. Esse devono quindi prendere in considerazione l’età del bambino, la sua maturità (in particolare la sua capacità di comprendere i quesiti, di ricordarsi e di comunicare), la complessità della causa e delle esigenze procedurali particolari in rapporto al valore probante delle dichia- razioni (cfr. DTAF 2014/30 consid. 2.3.2). Appartiene alla SEM di prendere le misure adeguate perché il minore si senta a suo agio (cfr. ibidem con- sid. 3.2.2).</w:t>
      </w:r>
    </w:p>
    <w:p>
      <w:r>
        <w:rPr>
          <w:b/>
        </w:rPr>
        <w:t>E. 3.2.2</w:t>
      </w:r>
    </w:p>
    <w:p>
      <w:r>
        <w:t>Ora, nel caso concreto, il Tribunale ritiene le censure ricorsuali rela- tive al fatto che l’autorità inferiore non avrebbe tenuto in debita considera- zione nella sua valutazione la minore età dell’insorgente come fondate. In proposito, si rileva invero come sia l’audizione RMNA del (…) settem- bre 2024, sia quella sui suoi motivi d’asilo tenutasi il (…) ottobre 2024, non abbiano rispettato a livello procedurale i principi succitati per la tenuta di un’audizione con un minorenne. Risulta difatti da entrambe le audizioni, che la funzionaria incaricata dalla SEM, non abbia per nulla messo a suo agio il RMNA, ponendo ad esempio inizialmente ed in conclusione alle au- dizioni dei quesiti di natura più generica al ricorrente, ma l’ha interrogato nello stesso modo distaccato e molto formale, come si farebbe con una persona adulta. A titolo esemplificativo, la funzionaria incaricata ha impie- gato per quasi tutto il corso dei due verbali la forma di cortesia e ha chia- mato l’interessato in un’occasione “Signore” (cfr. n. 19/13, D30, pag. 5), in- sistendo in modo importante sulla domanda inerente alla data esatta del suo espatrio, malgrado il richiedente avesse esposto fin dal principio di non rammentarsi il giorno esatto (cfr. n. 16/10, p.to 5.01, pag. 6; n. 19/13, D32 seg., pag. 5), ciò che risulta essere verosimile anche ed in particolare alla luce della sua minore età. La valutazione poi adempiuta dalla SEM nella decisione avversata e nelle prese di posizione successive in merito all’in- verosimiglianza degli asserti dell’insorgente, risulta in più punti di un’ani- mosità e veemenza particolari, difficilmente ammissibili nell’ambito della valutazione di asserti esposti da minorenni (cfr. segnatamente allorché ri- tiene la “scaltrezza” del ricorrente nel richiedere di poter rileggere il verbale</w:t>
      </w:r>
    </w:p>
    <w:p>
      <w:r>
        <w:t>D-7035/2024 Pagina 7 e che egli avrebbe preparato “a tavolino” una storia con più dettagli nel corso dell’audizione sui motivi d’asilo, cfr. pag. 7-8 della decisione avver- sata; risposta al ricorso, pag. 4; quadruplica, pag. 2-3; o ancora ritenendo “estremamente tendenzioso” e non meritevole “in alcun modo di essere creduto”, cfr. pag. 7 della decisione impugnata, una spiegazione data dal ricorrente). Per di più, il Tribunale rileva, che l’autorità inferiore, nella valu- tazione della verosimiglianza degli asserti dell’insorgente, si è orientata sulla giurisprudenza sviluppata dal Tribunale federale in merito all’esame della verosimiglianza di dichiarazioni di testimoni in ambito penale (cfr. DTF 128 I 81 consid. 2; DTF 129 I 49 consid. 5; DTF 133 I 33 consid. 4.3), che si distanzia per le norme probatorie da quelle valide invece per l’esame della verosimiglianza nell’ambito dell’asilo ai sensi dell’art. 7 LAsi (cfr. sen- tenza del Tribunale D-2534/2023 del 12 giugno 2023 consid. 7.1.1).</w:t>
      </w:r>
    </w:p>
    <w:p>
      <w:r>
        <w:rPr>
          <w:b/>
        </w:rPr>
        <w:t>E. 3.2.3</w:t>
      </w:r>
    </w:p>
    <w:p>
      <w:r>
        <w:t>Visto quanto precede, le norme procedurali per la tenuta di un’audi- zione di un RMNA risultano essere state violate nel caso concreto dalla SEM, come pure la valutazione della verosimiglianza contenuta nella deci- sione avversata ne risulta viziata in più punti e non rispettosa della giuri- sprudenza circa l’esame della verosimiglianza delle allegazioni di un richie- dente l’asilo minorenne sviluppata dalla scrivente autorità. Malgrado quanto precede, il Tribunale ritiene che sia nel corso della procedura din- nanzi all’autorità inferiore, sia con il ricorso e con le sue prese di posizione successive, il ricorrente abbia potuto presentare le sue ragioni e le sue motivazioni ampiamente, ciò che permette al Tribunale di esaminare e va- lutare con piena cognizione di causa la situazione dell’insorgente. In tal senso, nonché per i motivi che seguono (cfr. infra consid. 3.3 e 5), un rinvio della causa all’autorità inferiore perché esegua nuovamente le audizioni rispettando le normative in vigore e la giurisprudenza sopra esposta per i RMNA, rappresenterebbe agli occhi del Tribunale una vana formalità e con- durrebbe a dei ritardi inutili che non sarebbero conciliabili con l’interesse del ricorrente ad un esame celere e diligente del suo caso (cfr. DTAF 2013/23 consid. 6.1.3).</w:t>
      </w:r>
    </w:p>
    <w:p>
      <w:r>
        <w:rPr>
          <w:b/>
        </w:rPr>
        <w:t>E. 3.3.1</w:t>
      </w:r>
    </w:p>
    <w:p>
      <w:r>
        <w:t>Il fatto poi che il ricorrente giunga, rispetto alla verosimiglianza dei suoi asserti, ad una conclusione diversa da quella espressa dall’autorità inferiore, non è il risultato di una mancanza di presa in analisi dell’età dello stesso, bensì deriva dal suo potere d’apprezzamento, e riguarda quindi una questione di merito e non formale. Per quanto attiene poi al suo stato di salute ed al suo “stato d’animo” al momento in cui egli è stato verbalizzato nell’ambito delle due audizioni sostenute dinanzi alla SEM, alla stessa stre- gua di quanto ribadito più volte da quest’ultima autorità nella sua risposta</w:t>
      </w:r>
    </w:p>
    <w:p>
      <w:r>
        <w:t>D-7035/2024 Pagina 8 e nei suoi scritti successivi, anche il Tribunale ritiene che essa ne abbia adeguatamente tenuto conto nella sua valutazione. Difatti, si evince chia- ramente dalla decisione impugnata, come tali aspetti siano confluiti nell’ap- prezzamento svolto dalla SEM (cfr. p.to II, pag. 6 seg., pag. 8, pag. 13 e p.to III, pag. 15). Ancora una volta, il fatto che l’autorità predetta sia giunta a conclusioni diverse rispetto a quanto auspicato dal ricorrente, riguarda il merito della questione e non la forma. Peraltro, essendo l’autorità inferiore giunta alla conclusione che l’insorgente non aveva reso verosimili i suoi motivi d’asilo – comprese le problematiche con le autorità turche (cfr. p.to II, pag. 11 e pag. 12) – al contrario di quanto sollevato dal ricorrente nel suo gravame, la SEM non aveva alcun obbligo di proseguire l’esame di tali suoi asserti, anche nell’ambito di una presupposta persecuzione riflessa. Si evince poi chiaramente dal provvedimento avversato, come nello stesso l’autorità inferiore abbia tenuto conto della situazione familiare dell’insor- gente per esprimere il suo giudizio (cfr. p.to III, pag. 15 seg.). Riguardo alla stessa, sia il ricorrente sia la SEM si sono poi potuti pronunciare compiu- tamente anche nei loro scritti inoltrati in fase ricorsuale. Per questi motivi, e per quelli che verranno esplicati nei considerandi che seguono, il Tribu- nale ritiene pertanto che l’autorità inferiore abbia accertato a sufficienza ed in modo corretto tale aspetto. In proposito si ricorda ancora come l’autorità non è tenuta a pronunciarsi in modo esplicito ed esaustivo su tutte le argo- mentazioni addotte, bensì può occuparsi delle sole circostanze rilevanti per il giudizio (cfr. DTF 141 IV 249 consid. 1.3.1, 141 V 557 consid. 3.2.1; DTAF 2011/37 consid. 5.4.1). Concernente poi più specificatamente lo stato di salute dell’insorgente, si ritiene che al momento in cui è stata presa la decisione avversata, la SEM avesse tutti gli elementi in proposito per esprimersi in merito. Difatti, agli atti non v’era alcun documento medico che attestasse e provasse di una qualsivoglia problematica psicologica o dello spettro psichiatrico per il ricorrente. Peraltro, malgrado l’insorgente anche in fase ricorsuale abbia paventato l’inoltro di refertazione medica che atte- stasse delle sue problematiche psicologiche (cfr. triplica, pag. 3; osserva- zioni del 7 aprile 2025, pag. 3), la stessa non è mai pervenuta al Tribunale. Sulla base di quanto precede, non si ravvede alcuna ragione di ritenere che l’accertamento della SEM riguardo allo stato di salute dell’insorgente non fosse corretto e completo già al momento della presa di decisione. Infine, dal profilo dell’esecuzione dell’allontanamento non corrisponde al vero che l’autorità inferiore sia risultata “imprecisa” come affermato nel ri- corso (cfr. p.to III, pag. 12), in quanto dell’osservazione che il ricorrente attribuisce alla decisione avversata non ve n’è traccia, come neppure del passaggio riportato alla pag. 11: “In risposta à ciò, la stessa SEM ha rile- vato che: […] Oltre ad aver dichiarato di stare bene in Patria con la sua</w:t>
      </w:r>
    </w:p>
    <w:p>
      <w:r>
        <w:t>D-7035/2024 Pagina 9 famiglia lei in base alle sue dichiarazioni non ha nemmeno mai subito mi- nacce”.</w:t>
      </w:r>
    </w:p>
    <w:p>
      <w:r>
        <w:rPr>
          <w:b/>
        </w:rPr>
        <w:t>E. 3.3.2</w:t>
      </w:r>
    </w:p>
    <w:p>
      <w:r>
        <w:t>Ne discende quindi che l’autorità sindacata non ha violato (limitata- mente a quanto esposto al consid. 3.3.1), né il principio inquisitorio che le incombeva, né il suo obbligo di accertare in modo completo e corretto i fatti giuridicamente rilevanti ai sensi dell’art. 106 cpv. 1 lett. b LAsi. Per i predetti motivi, non si ravvede neppure la necessità perché il caso venisse trattato in procedura ampliata piuttosto che in quella celere, come fatto in specie dalla SEM, essendo l’accertamento dei fatti giuridicamente rilevanti suffi- cientemente completo ed esatto già al momento della pronuncia del prov- vedimento sindacato.</w:t>
      </w:r>
    </w:p>
    <w:p>
      <w:r>
        <w:rPr>
          <w:b/>
        </w:rPr>
        <w:t>E. 3.3.3</w:t>
      </w:r>
    </w:p>
    <w:p>
      <w:r>
        <w:t>Di conseguenza, la conclusione ricorsuale in secondo subordine, deve essere respinta.</w:t>
      </w:r>
    </w:p>
    <w:p>
      <w:r>
        <w:rPr>
          <w:b/>
        </w:rPr>
        <w:t>E. 4.1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rPr>
          <w:b/>
        </w:rPr>
        <w:t>E. 4.4</w:t>
      </w:r>
    </w:p>
    <w:p>
      <w:r>
        <w:t>A tenore dell’art. 7 cpv. 1 LAsi, chiunque domanda asilo deve provare o per lo meno rendere verosimile la sua qualità di rifugiato. Quest’ultima è</w:t>
      </w:r>
    </w:p>
    <w:p>
      <w:r>
        <w:t>D-7035/2024 Pagina 10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 tata).</w:t>
      </w:r>
    </w:p>
    <w:p>
      <w:r>
        <w:rPr>
          <w:b/>
        </w:rPr>
        <w:t>E. 5.1</w:t>
      </w:r>
    </w:p>
    <w:p>
      <w:r>
        <w:t>Visto quanto già sopra motivato (cfr. supra consid. 3.2), anche si rite- nessero verosimili gli asserti del ricorrente concernenti le problematiche che egli avrebbe riscontrato per mano di terze persone nel contesto scola- stico e fuori dallo stesso, gli stessi non sarebbero sufficienti per riconoscere un timore fondato per l’insorgente di subire dei seri pregiudizi ai sensi dell’art. 3 LAsi, nel caso di un suo ritorno in patria.</w:t>
      </w:r>
    </w:p>
    <w:p>
      <w:r>
        <w:rPr>
          <w:b/>
        </w:rPr>
        <w:t>E. 5.2</w:t>
      </w:r>
    </w:p>
    <w:p>
      <w:r>
        <w:t>Giova infatti ricordare che, secondo il principio della sussidiarietà della protezione internazionale in rapporto alla protezione nazionale, di cui all’art. 1 della Convenzione sullo statuto dei rifugiati del 28 luglio 1951 (RS 0.142.30), si può esigere da un richiedente l’asilo che abbia dapprima esaurito nel suo paese d’origine, le possibilità di protezione contro delle persecuzioni non statali, prima di sollecitare la protezione da parte di uno Stato terzo (cfr. DTAF 2013/11 consid. 5.1 con riferimenti citati; DTAF 2011/51 consid. 6.1). Occorre tuttavia precisare che, una protezione nazionale adeguata non s’intende come la necessità di una protezione as- soluta, in quanto nessuno Stato è in grado di garantire una tale protezione ad ognuno dei suoi cittadini, in ogni luogo ed in ogni momento (cfr. DTAF 2008/5 consid. 4.2). Per costante giurisprudenza, il Tribunale ritiene che le autorità turche di perseguimento penale e giudiziarie siano di regola capaci e volenterose di offrire protezione nel caso di minacce concrete pro- venienti da terze persone (cfr. tra le tante le sentenze del TAF E-1498/2024 del 19 luglio 2024 consid. 7.1, E-1269/2024 del 12 giugno 2024 con- sid. 6.1.3, E-1543/2024 del 16 maggio 2024 consid. 6.1).</w:t>
      </w:r>
    </w:p>
    <w:p>
      <w:r>
        <w:rPr>
          <w:b/>
        </w:rPr>
        <w:t>E. 5.3</w:t>
      </w:r>
    </w:p>
    <w:p>
      <w:r>
        <w:t>Nel caso concreto, il ricorrente non ha dimostrato, né reso perlomeno verosimile, con degli indizi concreti e concludenti, neppure nel suo ricorso e nei suoi memoriali ricorsuali successivi, che le autorità turche rifiutereb- bero, o non sarebbero in misura, se sollecitate, di proteggerlo contro delle aggressioni o violenze concrete perpetrate da parte di terze persone. In- vero, egli ha allegato di non avere mai avuto problematiche con le autorità turche (cfr. n. 16/10, p.to 7.02, pag. 8; n. 19/13, D92 segg., pag. 10; D102</w:t>
      </w:r>
    </w:p>
    <w:p>
      <w:r>
        <w:t>D-7035/2024 Pagina 11 seg., pag. 11), né dai suoi asserti risultano averne avute i suoi famigliari che risiedono ancora in Turchia. E ciò, anche successivamente all’espatrio dei fratellastri, della sorellastra G._______ e della matrigna che soggior- nano attualmente in Svizzera. Inoltre, egli non è mai stato attivo politica- mente in Turchia, né ha mai avuto alcun contatto, e neppure sa di cosa si tratta, con il movimento (…) o con il (…) (cfr. n. 19/13, D94 segg., pag. 10). Frattanto, non si ravvede alcun indizio concreto per ritenere che egli possa subire, in particolare a causa delle vicende vissute dalla sorellastra G._______, che fra l’altro è espatriata già nel (…) (…), una persecuzione riflessa per mano delle autorità turche. Egli potrà quindi indirizzarsi alle predette, anche sporgendo regolare denuncia – ciò che egli ha allegato di non aver mai fatto (cfr. n. 19/13, D80 segg., pag. 9 e D89, pag. 10) – nel caso in cui persone terze lo importunassero nuovamente in futuro o lo avessero fatto in passato. Gli asserti che egli non avrebbe sporto denuncia contro i suoi compagni di scuola, in quanto tra gli stessi ci sarebbero figli (…) e di (…), rispettivamente poiché avrebbe avuto paura dei ragazzi di (…) (cfr. ibidem, D80 segg., pag. 9 e D89, pag. 10), non risultano essere delle motivazioni sufficienti ed oggettive, nonché in grado di capovolgere la presunzione di protezione succitata (cfr. supra consid. 5.2). A ciò si ag- giunge che il ricorrente avrebbe potuto, e potrà anche in futuro se lo vorrà, recarsi anche in un’altra regione del suo Paese d’origine, onde eludere i suoi timori soggettivi di subire nuovamente dei pregiudizi da parte di terze persone, se tornasse a D._______ (cfr. n. 19/13, D116, pag. 12). Invero, egli ha affermato come, in particolare nella (…) di I._______, vivano delle sorelle, i nonni e degli zii e zie materne (cfr. ibidem, D114, pag. 12), dai quali potrà senz’altro riparare e trovare un sostegno, nel caso in cui i suoi timori relativi al suo quartiere si concretizzassero nuovamente in futuro. Infine, la sua appartenenza all’etnia curda così come le discriminazioni che egli avrebbe subito a scuola per questa ragione (cfr. n. 19/13, D29, pag. 4 seg.; D34 segg., pag. 5 seg., D61 segg., pag. 7 seg.), anche fossero rite- nute verosimili, non sarebbero, a causa della mancanza d’intensità, atte a far giungere al riconoscimento della qualità di rifugiato dell’insorgente, es- sendo rammentato che il Tribunale non ha, fino ad oggi, riconosciuto al- cuna persecuzione collettiva contro i curdi in Turchia (cfr. le sentenze del TAF E-1019/2025 del 16 aprile 2025, pag. 12; E-4929/2024 del 30 settem- bre 2024 consid. 4.2.4 e rif. cit.).</w:t>
      </w:r>
    </w:p>
    <w:p>
      <w:r>
        <w:rPr>
          <w:b/>
        </w:rPr>
        <w:t>E. 5.4</w:t>
      </w:r>
    </w:p>
    <w:p>
      <w:r>
        <w:t>Concernente poi la documentazione presentata dall’insorgente dinanzi all’autorità inferiore (cfr. MdP n. 1/2-9/1), che d’un canto sostiene la sua identità ed il legame di parentela con i suoi fratellastri e la sorellastra resi- denti in Svizzera e d’altro canto le vicende che avrebbero interessato quest’ultima in Turchia, circostanze che il Tribunale non intende mettere in</w:t>
      </w:r>
    </w:p>
    <w:p>
      <w:r>
        <w:t>D-7035/2024 Pagina 12 dubbio, non è però atta in alcun modo a sostenere la rilevanza dei motivi d’asilo dell’insorgente, non essendoci alcun legame diretto – né indiretto – evincibile dagli stessi. Per quanto attiene poi alla documentazione presen- tata dal ricorrente con il gravame, la stessa non è in grado di rendere mag- giormente pertinenti ai sensi dell’asilo le sue allegazioni circa i fatti da lui posti a fondamento della sua partenza dalla Turchia. Difatti il contenuto delle quattro lettere scritte dai famigliari del ricorrente residenti in Svizzera, in quanto tali, e per lo più generiche, sono da catalogare come allegazioni di parte, per nulla sostanziate con elementi concreti e circostanziati. Peral- tro, presentano pure dei fatti, per esempio che gli atteggiamenti razzisti che avrebbe subito il ricorrente sarebbe derivato dal cognome che porta (cfr. scritti di E._______ e di H._______ del 28 ottobre 2024), come pure che la famiglia del ricorrente si sarebbe dapprima indirizzata al docente ed alla direzione scolastica per risolvere le problematiche dello stesso (cfr. scritto di G._______ del 28 ottobre 2024), che l’insorgente non ha mai riportato in tal modo rispettivamente mai addotto. Ciò che inficia ancora maggiormente la credibilità di tali scritti, ai quali non può pertanto essere riconosciuta al- cuna valenza probatoria. Infine, per quanto concerne la decisione del (…) e l’articolo giornalistico inerente alla sorellastra del ricorrente, G._______, non essendoci nello stesso alcun riferimento all’insorgente, non è atto a mutare la conclusione del Tribunale succitata in merito all’irrilevanza dei suoi motivi d’asilo.</w:t>
      </w:r>
    </w:p>
    <w:p>
      <w:r>
        <w:rPr>
          <w:b/>
        </w:rPr>
        <w:t>E. 6</w:t>
      </w:r>
    </w:p>
    <w:p>
      <w:r>
        <w:t>Riassumendo, con le sue allegazioni irrilevanti, il ricorrente non è stato in grado, neppure con il suo gravame e gli scritti ricorsuali successivi, di ren- dere perlomeno verosimile (art. 7 LAsi) che al momento del suo espatrio dalla Turchia, egli fosse esposto a delle persecuzioni pertinenti ai sensi dell’asilo o che esista un rischio fondato di subire dei seri pregiudizi ai sensi dell’art. 3 LAsi, nel caso di un suo ritorno nel suddetto Stato. Pertanto, è a ragione che l’autorità inferiore non ha riconosciuto la qualità di rifugiato al ricorrente ed ha respinto la sua domanda d’asilo.</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il suo allontanamento dalla Svizzera (art. 14 cpv. 1 e 2 LAsi, art. 44 LAsi, nonché art. 32 dell’ordinanza 1 sull’asilo relativa a questioni procedurali dell’11 agosto 1999 [OAsi 1,</w:t>
      </w:r>
    </w:p>
    <w:p>
      <w:r>
        <w:t>D-7035/2024 Pagina 13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9.2</w:t>
      </w:r>
    </w:p>
    <w:p>
      <w:r>
        <w:t>Venendo alla presente disamina, a ragione l’autorità resistente nel suo provvedimento, osserva che in specie il principio del divieto di respingi- mento (art. 5 cpv. 1 LAsi), non si applica, in quanto esso protegge soltanto persone alle quali è stata riconosciuta la qualità di rifugiato. Per di più, per i motivi già sopra enucleati (cfr. consid. 4-6), non sono evincibili agli atti, rispettivamente nelle allegazioni ricorsuali dell’insorgente, degli elementi concreti che possano far ritenere, con una probabilità preponderante, che egli possa essere esposto ad una pena o ad un trattamento proscritti dall’art. 3 CEDU o dall’art. 3 Conv. tortura nel caso di un suo rimpatrio (cfr. sentenza della Corte europea dei diritti dell’uomo [CorteEDU], Grande Ca- mera, Saadi contro Italia del 28 febbraio 2008, 37201/66, §§125 e 129 con relativi riferimenti). In particolare, ed al contrario di quanto da egli esplicita- mente sollevato nel gravame (cfr. ricorso, p.to III, pag. 10 seg.), il contesto famigliare e socio-culturale d’origine, come si vedrà in seguito (cfr. infra</w:t>
      </w:r>
    </w:p>
    <w:p>
      <w:r>
        <w:t>D-7035/2024 Pagina 14 consid. 10), non risultano né contrari all’art. 3 CEDU né all’art. 3 della Con- venzione sui diritti del fanciullo del 20 novembre 1989 (RS 0.107, di se- guito: CDF). Pure la situazione generale dei diritti dell’uomo in Turchia, non risulta essere, all’ora attuale, ostativa all’ammissibilità dell’esecuzione dell’allontanamento dell’insorgente (cfr. a tal proposito la giurisprudenza costante del Tribunale, tra le altre le sentenze del TAF E-1087/2024 del 2 maggio 2025 consid. 8.3; E-4011/2023 del 28 aprile 2025 consid. 8.2.4). Inoltre, le problematiche di natura medica risultano pertinenti in termini di ammissibilità solo in casi straordinari di estrema gravità (cfr. DTAF 2009/2, consid. 9.1.2-9.1.6), a cui non è apparentabile la presente fattispecie, visti gli atti di causa (cfr. infra consid. 10.4.5).</w:t>
      </w:r>
    </w:p>
    <w:p>
      <w:r>
        <w:rPr>
          <w:b/>
        </w:rPr>
        <w:t>E. 9.3</w:t>
      </w:r>
    </w:p>
    <w:p>
      <w:r>
        <w:t>Ne discende quindi che l’allontanamento del ricorrente verso la Turchia risulta essere ammissibile nei confronti delle norme internazionali applicabili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Il Tribunale, nella sua giurisprudenza costante, ritiene che l’interesse superiore del fanciullo – il quale deriva in particolare dall’art. 3 par. 1 CDF – può risultare ostativo all’esecuzione dell’allontanamento del minore, e ren- dere pertanto tale misura inesigibile. Nel quadro di una ponderazione degli interessi, i criteri da esaminare sono: l’età del bambino, il suo grado di ma- turità, i suoi legami di dipendenza, la natura delle sue relazioni con le per- sone che lo sostengono (prossimità, intensità, importanza per la sua evo- 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w:t>
      </w:r>
    </w:p>
    <w:p>
      <w:r>
        <w:t>D-7035/2024 Pagina 15 egli possa essere collocato presso una struttura specializzata che gli offra l’assistenza necessaria in funzione della sua età e della sua maturità (cfr. DTAF 2021 VI/3 consid. 11.5.2, 2015/30 consid. 7.3; tra le altre le sentenze del TAF D-4408/2024 del 15 agosto 2024 consid. 12.2, E-7049/2023 del</w:t>
      </w:r>
    </w:p>
    <w:p>
      <w:r>
        <w:rPr>
          <w:b/>
        </w:rPr>
        <w:t>E. 10.3</w:t>
      </w:r>
    </w:p>
    <w:p>
      <w:r>
        <w:t>Nella presente disamina, anche tenuto conto della ripresa del conflitto curdo-turco e degli scontri armati tra il PKK (Partito dei Lavoratori del Kur- distan) e le forze di sicurezza statali dal luglio del 2015 in diverse province del sud-est del Paese, nonché degli sviluppi dopo il tentativo del colpo di Stato avvenuto nel luglio del 2016, come ritenuto da costante giurispru- denza di questo Tribunale, in Turchia non vige, ora come prima, un conte- sto di guerra, guerra civile e violenza generalizzata, riguardante l’integralità del territorio, neppure per gli appartenenti all’etnia curda (cfr. tra le altre le sentenze del TAF E-1087/2024 succitata consid. 8.4.2; E-5618/2024 del 20 dicembre 2024 consid. 8.3.2, D-4530/2024 del 19 dicembre 2024 con- sid. 8.3.1). Inoltre l’insorgente proviene dalla (…) di D._______, sita negli omonimi distretto e provincia, regione che non è stata toccata direttamente dai terremoti occorsi in Turchia nel febbraio del 2023 (cfr. per la lista delle regioni turche interessate dai predetti sismi la sentenza del TAF E-2552/2024 del 27 maggio 2024 consid. 9.3.3). Altresì, anche se l’alter- nativa di soggiorno interna segnalata sopra (ovvero I._______, cfr. con- sid. 5.3), si trova in una delle province toccate dai sismi precitati, il ricor- rente non ha mai addotto che i famigliari che ivi abiterebbero avrebbero subito dei pregiudizi a causa degli stessi. Pertanto, anche considerata la</w:t>
      </w:r>
    </w:p>
    <w:p>
      <w:r>
        <w:t>D-7035/2024 Pagina 16 giurisprudenza resa in merito dal Tribunale, che ritiene come anche nelle province interessate dai terremoti, l’esecuzione dell’allontanamento non sia generalmente inesigibile e svolge per quanto attiene alla valutazione dell’esigibilità della misura un esame individuale della situazione di vita nel singolo caso (cfr. sentenza di riferimento del TAF E-1308/2023 del</w:t>
      </w:r>
    </w:p>
    <w:p>
      <w:r>
        <w:rPr>
          <w:b/>
        </w:rPr>
        <w:t>E. 10.4.1</w:t>
      </w:r>
    </w:p>
    <w:p>
      <w:r>
        <w:t>Pure dal profilo dei motivi personali, non è evincibile all’incarto alcun elemento dal quale si possa dedurre che l’esecuzione dell’allontanamento implicherebbe una messa in pericolo concreta dell’interessato.</w:t>
      </w:r>
    </w:p>
    <w:p>
      <w:r>
        <w:rPr>
          <w:b/>
        </w:rPr>
        <w:t>E. 10.4.2</w:t>
      </w:r>
    </w:p>
    <w:p>
      <w:r>
        <w:t>A tal proposito, v’è infatti innanzitutto da rimarcare come il ricorrente, minore e senza carico famigliare, dispone nel suo Paese d’origine, sia a D._______ (suo luogo d’origine) sia in altre regioni della Turchia, di un’am- pia rete famigliare, in particolare della madre, di fratelli e sorelle, nonché di nonni e zii e zie materni (cfr. n. 16/10, p.to 3.01, pag. 5; n. 19/13, D105 segg., pag. 11 seg.). Con gli stessi risulta essere in buoni e regolari contatti (cfr. n. 19/13, D9 segg., pag. 2; D110, pag. 11; D115, pag. 12). Il ricorrente ha inoltre asserito che con la madre vivrebbero al suo indirizzo d’origine a D._______, un fratello ed una sorella maggiori, e che gli stessi lavorereb- bero per sopperire anche ai bisogni della madre, nonché che quest’ultima percepirebbe una rendita d’invalidità; altresì, una sorella maggiore sta- rebbe lavorando in (…) (cfr. n. 16/10, p.to 1.16.04, pag. 4; n. 19/13, D105 segg., pag. 11; cfr. anche ricorso, p.to III, pag. 10). Visto l’insieme di tali elementi, che si evincono in maniera chiara ed affidabile dalle stesse di- chiarazioni del ricorrente, si può senz’altro concludere che quest’ultimo po- trà essere sostenuto, sia finanziariamente, sia materialmente ed affettiva- mente, dalla sua famiglia d’origine, segnatamente dalla madre e dai fratelli e sorelle che vivono in Turchia, che hanno la possibilità concreta di soste- nerlo e di garantirgli una presa a carico reale, nel caso di un suo ritorno in Turchia. In particolare, non v’è agli atti, né men che meno apportati con il ricorso e con le osservazioni ricorsuali successive, alcun indizio concreto dal quale scaturisca che lo sviluppo psichico e sociale dell’interessato po- trebbe essere messo in pericolo, nei (…) che lo separano attualmente dalla maggiore età, nell’eventualità di una sua reintegrazione nel suo nucleo fa- migliare. Altresì, per quanto si dia atto della disponibilità, anche finanziaria, e dell’attaccamento affettivo che provano i famigliari del ricorrente che vi- vono in Svizzera nei suoi confronti (cfr. a tal proposito gli scritti da loro pro- dotti con il ricorso); tuttavia non è in alcun modo provato né reso perlomeno</w:t>
      </w:r>
    </w:p>
    <w:p>
      <w:r>
        <w:t>D-7035/2024 Pagina 17 verosimile che egli condurrebbe presso di loro una vita affettiva e qualita- tiva inferiore a quella che gli sarebbe riservata in Turchia, come sostenuto nel ricorso. Paese, quest’ultimo, dove invece egli dispone dell’affetto e del sostegno di tutta la sua famiglia d’origine, mentre che invece i famigliari che si trovano qui in Svizzera, erano anni che egli non rivedeva più. V’è inoltre da rimarcare come l’insorgente abbia asserito di avere contatti gior- nalieri con la madre, il fratello maggiore, la sorella maggiore ed un cugino paterno dacché si trova in Svizzera (cfr. n. 19/13, D9 segg., pag. 2). Per- tanto v’è da concludere per l’esistenza effettiva di una rete famigliare sul posto, che il ricorrente potrà per di più facilmente reintegrare, essendo che non l’ha lasciata da molto tempo.</w:t>
      </w:r>
    </w:p>
    <w:p>
      <w:r>
        <w:rPr>
          <w:b/>
        </w:rPr>
        <w:t>E. 10.4.3</w:t>
      </w:r>
    </w:p>
    <w:p>
      <w:r>
        <w:t>Inoltre il ricorrente ha allegato di aver seguito la scuola fino alla sua partenza dal Paese d’origine, interrompendo il (…) anno di (…) che avrebbe frequentato a distanza, a causa della sua partenza per la Svizzera (cfr. n. 16/10, p.to 1.17.04, pag. 4). Egli beneficia quindi già di una forma- zione scolastica, che potrà proseguire se vorrà, od intraprendere una for- mazione, al fine d’esercitare un’attività professionale in Turchia. Il fatto che egli in Svizzera potrebbe godere di un’istruzione migliore, non è determi- nante.</w:t>
      </w:r>
    </w:p>
    <w:p>
      <w:r>
        <w:rPr>
          <w:b/>
        </w:rPr>
        <w:t>E. 10.4.4</w:t>
      </w:r>
    </w:p>
    <w:p>
      <w:r>
        <w:t>Pertanto, nessun elemento concreto suggerisce che il ricorrente non potrebbe riprendere in Turchia – anche tenuto conto dell’irrilevanza dei suoi asserti rispetto al suo vissuto nel Paese d’origine – la vita che egli conduceva prima del suo espatrio. Inoltre, tenuto conto della sua età – di (…) anni compiuti – come pure della durata del suo soggiorno in Svizzera – ovvero ad oggi di poco più di un anno – nulla indica che il suo grado d’integrazione in Svizzera sia tale che un suo allontanamento verso il suo Paese d’origine, dove ne conosce la cultura e la lingua, costituirebbe uno sradicamento di natura tale da mettere in pericolo il suo sviluppo. A tal pro- posito, il fatto che il ricorrente starebbe frequentando regolarmente dei corsi di (…), avrebbe iniziato a frequentare la scuola in Svizzera, e sarebbe iscritto ad un corso di (…), secondo le allegazioni ricorsuali nonché la do- cumentazione annessa al ricorso, non sono sufficienti per modificare la predetta conclusione.</w:t>
      </w:r>
    </w:p>
    <w:p>
      <w:r>
        <w:rPr>
          <w:b/>
        </w:rPr>
        <w:t>E. 10.4.5</w:t>
      </w:r>
    </w:p>
    <w:p>
      <w:r>
        <w:t>Pure lo stato valetudinario del ricorrente, non risulta essere ostativo all’esecuzione del suo allontanamento. Difatti, dalle sue allegazioni, si evince come egli farebbe, a volte, fatica a respirare, nonché soffrirebbe di attacchi di panico, per i quali avrebbe ricevuto dei medicamenti naturali qui in Svizzera (cfr. n. 19/13, D14 segg., pag. 3). Egli ha inoltre asserito in fase ricorsuale che a partire dal gennaio del 2025 starebbe svolgendo</w:t>
      </w:r>
    </w:p>
    <w:p>
      <w:r>
        <w:t>D-7035/2024 Pagina 18 regolarmente dei colloqui specialistici per le sue problematiche psicologi- che (cfr. triplica, pag. 3; osservazioni del 7 aprile 2025, pag. 3). Tuttavia, di tali asserti e problematiche di salute, e ciò anche malgrado il ricorrente abbia reiteratamente asserito che avrebbe prodotto la documentazione medica a supporto, non se ne trova alcuna traccia documentale agli atti all’inserto (cfr. anche supra consid. 3.3.1). Ciò risulta essere dimostrativo del fatto che lo stato di salute del ricorrente è per lo meno stabile e non ha dato luogo ad alcuna preoccupazione maggiore, nonché che non risulta essere ostativo all’esecuzione del suo allontanamento, ai sensi della giuri- sprudenza restrittiva applicabile in materia (cfr. sentenze della CorteEDU, [Grande Camera], N. contro Regno Unito del 27 maggio 2008, 26565/05; Paposhvili contro Belgio del 13 dicembre 2016, 41738/10, §181 segg.; Savran contro Danimarca del 7 dicembre 2021, 57467/15, §§121 segg.; DTAF 2011/9 consid. 7.1 e 2011/9 consid. 7.1). Peraltro, egli in patria, potrà proseguire gli eventuali trattamenti e cure iniziati in Svizzera, in quanto il sistema di salute turco è paragonabile in principio agli standard dell’Europa dell’ovest ed offre in particolare delle cure mediche ed in ambito psicolo- gico-psichiatrico sufficienti (cfr. tra le tante la sentenza del TAF E-1087/2024 del 2 maggio 2025 consid. 8.4.4).</w:t>
      </w:r>
    </w:p>
    <w:p>
      <w:r>
        <w:rPr>
          <w:b/>
        </w:rPr>
        <w:t>E. 10.5</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per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la rappresentante legale dell’insor- gente, è in misura di rammentarle al momento opportuno (cfr. nello stesso senso la sentenza del TAF D-1284/2024 dell’11 aprile 2024 consid. 11.4.4).</w:t>
      </w:r>
    </w:p>
    <w:p>
      <w:r>
        <w:rPr>
          <w:b/>
        </w:rPr>
        <w:t>E. 10.6</w:t>
      </w:r>
    </w:p>
    <w:p>
      <w:r>
        <w:t>Su tali presupposti, l’esecuzione dell’allontanamento del ricorrente in Turchia risulta essere conforme al suo interesse superiore quale minore, ai sensi dell’art. 3 CDF, ed il suo benessere non risulta essere a rischio nel caso di un suo rinvio nel suddetto Paese.</w:t>
      </w:r>
    </w:p>
    <w:p>
      <w:r>
        <w:rPr>
          <w:b/>
        </w:rPr>
        <w:t>E. 10.7</w:t>
      </w:r>
    </w:p>
    <w:p>
      <w:r>
        <w:t>Ne discende che l’esecuzione dell’allontanamento dell’insorgente è quindi pure ragionevolmente esigibile (art. 83 cpv. 4 LStrI in relazione all’art. 44 LAsi).</w:t>
      </w:r>
    </w:p>
    <w:p>
      <w:r>
        <w:t>D-7035/2024 Pagina 19 11. Nemmeno risultano esserci degli impedimenti sotto il profilo della possibi- lità dell’esecuzione dell’allontanamento, in quanto il ricorrente – che di- spone di una carta d’identità turca originale tutt’ora valida (cfr. MdP n. 1/2) – potrà procurarsi ogni (ulteriore) documento indispensabile al rim- patrio, usando della necessaria diligenza (art. 47 cpv. 1 LAsi; cfr. DTAF 2008/34 consid. 12). 12. Ne consegue che, anche in materia d’esecuzione dell’allontanamento, la decisione dell’autorità inferiore va confermata. 13. 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 14. 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D-7035/2024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r>
        <w:rPr>
          <w:b/>
        </w:rPr>
        <w:t>E. 11</w:t>
      </w:r>
    </w:p>
    <w:p>
      <w:r>
        <w:t>Nemmeno risultano esserci degli impedimenti sotto il profilo della possibilità dell'esecuzione dell'allontanamento, in quanto il ricorrente - che dispone di una carta d'identità turca originale tutt'ora valida (cfr. MdP n. 1/2) - potrà procurarsi ogni (ulteriore) documento indispensabile al rimpatrio, usando della necessaria diligenza (art. 47 cpv. 1 LAsi; cfr. DTAF 2008/34 consid. 12).</w:t>
      </w:r>
    </w:p>
    <w:p>
      <w:r>
        <w:rPr>
          <w:b/>
        </w:rPr>
        <w:t>E. 12</w:t>
      </w:r>
    </w:p>
    <w:p>
      <w:r>
        <w:t>Ne consegue che, anche in materia d'esecuzione dell'allontanamento, la decisione dell'autorità inferiore va confermata.</w:t>
      </w:r>
    </w:p>
    <w:p>
      <w:r>
        <w:rPr>
          <w:b/>
        </w:rPr>
        <w:t>E. 13</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w:t>
      </w:r>
    </w:p>
    <w:p>
      <w:r>
        <w:rPr>
          <w:b/>
        </w:rPr>
        <w:t>E. 14</w:t>
      </w:r>
    </w:p>
    <w:p>
      <w:r>
        <w:t>febbraio 2024 consid. 6.2). In tal senso, non è sufficiente affermare che il minore possa ritornare nella sua famiglia o che esistano nel suo Paese d’origine delle strutture appropriate alle quali egli potrà indirizzarsi. Inoltre, l’art. 69 cpv. 4 LStrI, prescrive che l’autorità competente, prima del rinvio coatto di uno straniero minorenne non accompagnato, si accerti che nello Stato di rimpatrio questi sarà affidato ad un membro della sua famiglia, a un tutore o a una struttura di accoglienza che ne garantiscano la protezione (cfr. tra le altre la sentenza del TAF D-5264/2021 del 23 dicembre 2021, pag. 14 seg.). Se pure vi sia modo di ritenere che sia la presa in carico sia l’inquadra- 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 loggio, onde evitare che non sia abbandonato a sé stesso per quanto con- cerne i suoi bisogni elementari (cfr. sentenza del TAF E-7049/2023 succi- tata consid. 6.2).</w:t>
      </w:r>
    </w:p>
    <w:p>
      <w:r>
        <w:rPr>
          <w:b/>
        </w:rPr>
        <w:t>E. 19</w:t>
      </w:r>
    </w:p>
    <w:p>
      <w:r>
        <w:t>marzo 2024 consid. 11.3.1), dal profilo della situazione generale del Paese d’origine, non risultano esserci ostacoli all’esecuzione dell’allonta- namento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