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D-7031/2009 vom 31. Mai 2010</w:t>
      </w:r>
    </w:p>
    <w:p>
      <w:r>
        <w:t>Bundesverwaltungsgericht, 2010-05-31, FR</w:t>
      </w:r>
    </w:p>
    <w:p>
      <w:r>
        <w:rPr>
          <w:b/>
        </w:rPr>
        <w:t xml:space="preserve">Quelle: </w:t>
      </w:r>
      <w:r>
        <w:t>https://mcp.opencaselaw.ch/entscheid/bvger_D-7031_2009</w:t>
      </w:r>
    </w:p>
    <w:p>
      <w:r>
        <w:t>FR: TAF D-7031/2009 du 31 mai 2010</w:t>
      </w:r>
    </w:p>
    <w:p>
      <w:r>
        <w:t>IT: TAF D-7031/2009 del 31 maggio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Le recourant a qualité pour recourir (art. 48 al. 1 PA). Présenté dans la forme (art. 52 PA) et le délai de trente jours (art. 108 al. 1 LAsi) prescrits par la loi, le recours est recevable.</w:t>
      </w:r>
    </w:p>
    <w:p>
      <w:r>
        <w:rPr>
          <w:b/>
        </w:rPr>
        <w:t>E. 2.1</w:t>
      </w:r>
    </w:p>
    <w:p>
      <w:r>
        <w:t>Sont des réfugiés les personnes qui, dans leur Etat d'origine ou dans le pays de leur dernière résidence, sont exposées à de sérieux préjudices oui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affirme craindre de subir des préjudices dans son pays, dans la mesure où il risquerait d'y être condamné pour désertion.</w:t>
      </w:r>
    </w:p>
    <w:p>
      <w:r>
        <w:rPr>
          <w:b/>
        </w:rPr>
        <w:t>E. 3.2</w:t>
      </w:r>
    </w:p>
    <w:p>
      <w:r>
        <w:t>Toutefois, d'après une jurisprudence bien établie, une sanction pour refus de servir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Jurisprudence et informations de la Commission suisse de recours en matière d'asile [JICRA] 2004 n°2 consid. 6b/aa p. 16 s., JICRA 2003 n° 8, JICRA 2002 n° 19 consid. 6d p.156 ss, JICRA 2001 n° 15 consid. 8d/da p. 117; Haut Commissariat des Nations Unies pour les réfugiés [HCR], Guide des procédures et critères à appliquer pour déterminer le statut de réfugié, Genève, janvier 1992, ch. 167 ss, p. 43 ss; Samuel Werenfels, Der Begriff des Flüchtlings im schweizerischen Asylrecht, Berne 1987, p. 258 s.).</w:t>
      </w:r>
    </w:p>
    <w:p>
      <w:r>
        <w:rPr>
          <w:b/>
        </w:rPr>
        <w:t>E. 3.3</w:t>
      </w:r>
    </w:p>
    <w:p>
      <w:r>
        <w:t>Or, force est de constater in casu que les craintes de l'intéressé de voir sa désertion sanctionnée ne sont fondées ni sur la race ni sur la religion ni sur l' appartenance à un groupe social déterminé ni, enfin, sur des opinions politiques. Les autres conditions qui permettraient de considérer la sanction infligée comme pertinente en matière d'asile ne sont à l'évidence pas non plus remplies. Cela dit, la peine que l'intéressé est susceptible d'encourir, s'élève, selon l'art. 389 du code pénal géorgien, au maximum à sept années d'emprisonnement. Bien que lourde, on ne saurait la considérer comme étant, en soi et indépendamment des circonstances concrètes, disproportionnée. Il faut en effet souligner que le même article prévoit une atténuation de la sanction pour les déserteurs commettant cet acte pour la première fois, ce qui semble être le cas en l'occurrence, et dans des circonstances particulières, condition également réalisée puisque A._______ aurait reçu l'ordre de quitter la zone de conflit. Partant, les motifs d'asile du recourant ne sont pas pertinents pour la reconnaissance de la qualité de réfugié (art. 3 al. 1 LAsi). Ce constat s'impose d'ailleurs quoi qu'il en soit de la vraisemblance ou non du récit de l'intéressé, point qu'il conviendra toutefois d'analyser dans le cadre de l'examen touchant le caractère licite de l'exécution du renvoi.</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142 311),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l'autorité prononce l'admission provisoire, réglée par l'art. 83 de la loi fédérale sur les étrangers du 16 décembre 2005 (LEtr, RS 142.20).</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par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de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 recourant ne peut se prévaloir, en cas de retour dans son pays d'origine,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 une simple possibilité de subir de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tensions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6.3.1</w:t>
      </w:r>
    </w:p>
    <w:p>
      <w:r>
        <w:t>En l'occurrence, le recourant a fait valoir sa crainte, en cas de retour en Géorgie, d'être emprisonné et, compte tenu des conditions d'incarcération dans ce pays, de subir des traitements contraires à l'art. 3 CEDH.</w:t>
      </w:r>
    </w:p>
    <w:p>
      <w:r>
        <w:rPr>
          <w:b/>
        </w:rPr>
        <w:t>E. 6.3.2</w:t>
      </w:r>
    </w:p>
    <w:p>
      <w:r>
        <w:t>En l'espèce, A._______ a fourni un récit vraisemblable tant de son incorporation au sein de l'armée géorgienne que de sa participation à la guerre d'Ossétie du sud du mois d'août 2008. Ce même récit ne permet toutefois pas de tenir pour crédible sa désertion dans les circonstances alléguées. En effet, l'intéressé aurait fui le front sur ordre de son supérieur et non de son propre chef. Il aurait donc pu essayer de réintégrer son corps, ce qu'il n'a toutefois pas fait. En connaissant, alors, la gravité de son acte, il est illogique qu'il n'ait pas essayé de prendre la fuite et de quitter son pays en profitant de la confusion générale qui y régnait. Il est surtout fortement improbable qu'il ait rejoint le domicile familial, puis celui de sa tante, où les autorités pouvaient aisément le retrouver et l'arrêter. Par ailleurs, A._______ n'a fourni aucun commencement de preuve alors qu'il aurait pu le faire aisément. Les diverses pièces fournies se rapportent à sa carrière militaire ou à des situations générales mais ne concernent en rien sa désertion. L'intéressé a d'ailleurs tenu tout au long de la procédure des propos contradictoires quant aux documents qui auraient pu prouver sa prétendue désertion. Il a, en effet, en un premier temps affirmé qu'il lui était impossible de fournir une carte d'identité militaire, étant donnée qu'elle était en possession de l'armée géorgienne et qu'il craignait que les démarches nécessaires à son obtention permettent de le localiser, pour finalement laisser entendre, dans son recours, que l'obtention de ce document lui était possible.</w:t>
      </w:r>
    </w:p>
    <w:p>
      <w:r>
        <w:rPr>
          <w:b/>
        </w:rPr>
        <w:t>E. 6.4</w:t>
      </w:r>
    </w:p>
    <w:p>
      <w:r>
        <w:t>Au vu de ce qui précède, les risques de préjudices évoqués par le recourant n'atteignent pas le degré de probabilité exigé. Dès lors, l'exécution du renvoi de celui-ci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fédéral suisse [ATAF] 2007/10 consid. 5.1 p. 111; JICRA 2005 n°24 consid. 10.1 p. 215 et jurisp. cit.).</w:t>
      </w:r>
    </w:p>
    <w:p>
      <w:r>
        <w:rPr>
          <w:b/>
        </w:rPr>
        <w:t>E. 7.2</w:t>
      </w:r>
    </w:p>
    <w:p>
      <w:r>
        <w:t>Cette mesure est également raisonnablement exigible. En effet, il sied d'abord de relever que le conflit qui a éclaté en août 2008 entre les armées géorgienne et russe était confiné à l'Abkhazie et à l'Ossétie du sud, deux régions séparatistes de la Géorgie, ainsi qu'à des zones adjacentes (dites zones tampons). Depuis l'accord signé entre les belligérants, le 12 août 2008, le président en exercice de l'Union Européenne (ci-après: UE) et le président russe sont convenus, le 8 septembre 2008, d'un retrait complet des forces russes de Géorgie, hors territoires séparatistes, et du déploiement d'au moins 200 observateurs de l'UE. Ils se sont aussi entendus sur la poursuite des discussions internationales concernant l'Abkhazie et l'Ossétie du sud, tout en continuant à diverger sur le statut des deux républiques séparatistes de Géorgie, dont Moscou a reconnu l'indépendance le 26 août 2008. Le retrait tel qu'annoncé s'est achevé le 8 octobre 2008, soit deux jours avant l'échéance prévue par l'accord, et les troupes russes ne sont donc plus présentes que dans les régions séparatistes géorgiennes. Compte tenu de ce qui précède, et malgré des tensions toujours existantes entre la Russie et la Géorgie, le Tribunal ne saurait considérer qu'il règne actuellement et de manière générale une situation de guerre, de guerre civile ou de violence généralisée en Géorgie, au point que l'on doive renoncer systématiquement à l'exécution du renvoi de tous les ressortissants de ce pays, indépendamment du lieu où il sont renvoyés et de leur situation personnelle.</w:t>
      </w:r>
    </w:p>
    <w:p>
      <w:r>
        <w:rPr>
          <w:b/>
        </w:rPr>
        <w:t>E. 7.3</w:t>
      </w:r>
    </w:p>
    <w:p>
      <w:r>
        <w:t>S'agissant de la situation personnelle de l'intéressé, il ne ressort du dossier aucun élément impliquant une mise en danger concrète de celui-ci en cas d'exécution du renvoi. A cet égard, le Tribunal observe que l'intéressé est jeune, célibataire et n'a pas allégué de problème de santé particulier. Tous ces facteurs, auxquels s'ajoute le fait que sa famille demeure au pays, devraient lui permettre de se réinstaller dans son pays d'origine, sans devoir y affronter d'excessives difficultés.</w:t>
      </w:r>
    </w:p>
    <w:p>
      <w:r>
        <w:rPr>
          <w:b/>
        </w:rPr>
        <w:t>E. 7.4</w:t>
      </w:r>
    </w:p>
    <w:p>
      <w:r>
        <w:t>Pour ces motifs l'exécution du renvoi doit être considérée comme raisonnablement exigible.</w:t>
      </w:r>
    </w:p>
    <w:p>
      <w:r>
        <w:rPr>
          <w:b/>
        </w:rPr>
        <w:t>E. 8</w:t>
      </w:r>
    </w:p>
    <w:p>
      <w:r>
        <w:t>L'exécution du renvoi est enfin possible (art. 83 al. 2 LEtr) et le recourant est tenu de collaborer à l'obtention de documents de voyage lui permettant de quitter la Suisse (art. 8 al. 4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de mettre les frais de procédure, d'un montant de Fr. 600.-, à la charge du recourant, conformément à l'article 63 al. 1 PA et aux art.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