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D-7023/2006 vom 7. März 2008</w:t>
      </w:r>
    </w:p>
    <w:p>
      <w:r>
        <w:t>Bundesverwaltungsgericht, 2008-03-07, DE</w:t>
      </w:r>
    </w:p>
    <w:p>
      <w:r>
        <w:rPr>
          <w:b/>
        </w:rPr>
        <w:t xml:space="preserve">Quelle: </w:t>
      </w:r>
      <w:r>
        <w:t>https://mcp.opencaselaw.ch/entscheid/bvger_D-7023_2006</w:t>
      </w:r>
    </w:p>
    <w:p>
      <w:r>
        <w:t>FR: TAF D-7023/2006 du 7 mars 2008</w:t>
      </w:r>
    </w:p>
    <w:p>
      <w:r>
        <w:t>IT: TAF D-7023/2006 del 7 marzo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durch die angefochtene Verfügung berührt und haben ein schutzwürdiges Interesse an deren Aufhebung beziehungsweise Änderung. Sie sind daher zur Einreichung der Beschwerde legitimiert (Art. 6 AsylG i.V.m. Art. 48 Abs. 1 und 50 ff. VwVG). Auf die Beschwerde ist einzutreten.</w:t>
      </w:r>
    </w:p>
    <w:p>
      <w:r>
        <w:rPr>
          <w:b/>
        </w:rPr>
        <w:t>E. 3</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4.1</w:t>
      </w:r>
    </w:p>
    <w:p>
      <w:r>
        <w:t>Der Prüfungsgegenstand beschränkte sich gemäss Überweisung auf die im Revisionsurteil der ARK angeführten Punkte; nunmehr ist zu prüfen, ob sich - insbesondere angesichts der langen Verfahrensdauer - der rechtserhebliche Sachverhalt wiedererwägungsrechtlich wesentlich verändert hat.</w:t>
      </w:r>
    </w:p>
    <w:p>
      <w:r>
        <w:rPr>
          <w:b/>
        </w:rPr>
        <w:t>E. 4.2</w:t>
      </w:r>
    </w:p>
    <w:p>
      <w:r>
        <w:t>Der Beschwerdeführer 1 (Ehemann) ist am 2. März 2007 verstorben; diesbezüglich wird das Beschwerdeverfahren gegenstandslos. Desgleichen bei der verschwundenen Tochter (Beschwerdeführerin 3).</w:t>
      </w:r>
    </w:p>
    <w:p>
      <w:r>
        <w:rPr>
          <w:b/>
        </w:rPr>
        <w:t>E. 4.3</w:t>
      </w:r>
    </w:p>
    <w:p>
      <w:r>
        <w:t>Keine wesentliche Veränderung des rechtserheblichen Sachverhalts ist in Bezug auf den Asylpunkt, die Flüchtlingseigenschaft und die Wegweisung zu verzeichnen. Indessen hat sich der Sachverhalt gegenüber dem Zeitpunkt der in Rechtskraft erwachsenen Verfügung nachträglich doch noch in verschiedenen Punkten verändert. Nach Praxis der ehemaligen ARK, welche vom Bundesverwaltungsgericht fortgeführt wird, ist die Rückkehr von Personen aus der Demokratischen Republik Kongo unter bestimmten Umständen zwar zumutbar, nämlich dann, wenn die betroffene Person ihren letzten Wohnsitz in der Hauptstadt Kinshasa oder in einer anderen, über einen Flughafen verfügenden Stadt im Westen des Landes hatte,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zurückzuführende Person (kleine) Kinder in ihrer Begleitung hat, für mehrere Kinder verantwortlich ist, sich bereits in einem fortgeschrittenen Alter oder in einem schlechten gesundheitlichen Zustand befindet oder wenn es sich bei ihr um eine allein stehende, nicht über ein soziales oder familiäres Netz verfügende Frau handelt (vgl. EMARK 2004 Nr. 33). Der Ehemann der Beschwerdeführerin 2 ist am 2. März 2007 verstorben. Die Witwe, welche bald 50 Jahre alt sein wird, gehört zur Kategorie von Personen, bei welchen nach dem Gesagten in der Regel der Vollzug der Wegweisung als unzumutbar erachtet wird. Umstände, welche zu einer anderen Beurteilung zu führen vermöchten, liegen im vorliegenden Verfahren nicht vor.</w:t>
      </w:r>
    </w:p>
    <w:p>
      <w:r>
        <w:rPr>
          <w:b/>
        </w:rPr>
        <w:t>E. 4.4</w:t>
      </w:r>
    </w:p>
    <w:p>
      <w:r>
        <w:t>Die Beschwerdeführerin 4, welche bereits Mutter eines am (...) geborenen Kindes ist, gebar am (...) ein weiteres Kind, welches das Schweizerbürgerrecht besitzt, weil der Kindsvater Schweizerbürger ist. Die Frage, ob die Beschwerdeführerin 4 sich deshalb auf Art. 8 der Konvention vom 4. November 1950 zum Schutze der Menschenrechte und Grundfreiheiten (EMRK, SR 0.101) berufen könnte, um daraus einen Anspruch auf Erteilung einer Aufenthaltsbewilligung abzuleiten, dürfte wohl zu verneinen sein (siehe in diesem Zusammenhang das Urteil des Bundesgerichts 2C.199/2007 vom 23. Juli 2007 E. 3.4 mit Hinweis auf BGE 122 II 289 E. 3c und 3d S. 298 f.), kann aber letztendlich offen gelassen werden. Auch die Beschwerdeführerin 4 gehört nach dem oben Erwähnten zur Kategorie der Personen, bei denen vom Vollzug der Wegweisung abzusehen ist, weil sie für zwei kleine Kinder aufkommen muss.</w:t>
      </w:r>
    </w:p>
    <w:p>
      <w:r>
        <w:rPr>
          <w:b/>
        </w:rPr>
        <w:t>E. 4.5</w:t>
      </w:r>
    </w:p>
    <w:p>
      <w:r>
        <w:t>Gemäss Art. 83 Abs. 4 des Bundesgesetzes vom 16. Dezember 2005 über die Ausländerinnen und Ausländer (AuG, SR 142.20) ist der Vollzug insbesondere nicht zumutbar, wenn er für den Ausländer eine konkrete Gefährdung darstellt. Bei einer am Prinzip der vorrangigen Berücksichtigung des Kindeswohls orientierten völkerrechtskonformen Auslegung von Art. 83 Abs. 4 AuG ist bei der Prüfung der Zumutbarkeit des Wegweisungsvollzugs nicht bloss die Situation, die sich im Falle der Rückkehr ins Heimatland ergeben würde, zu berücksichtigen. Vielmehr sind unter dem Aspekt des Kindeswohls sämtliche Umstände einzubeziehen und zu würdigen, die im Hinblick auf eine Wegweisung wesentlich erscheinen. Mithin ist der Persönlichkeit des Kindes und seinen Lebensumständen umfassend Rechnung zu tragen. Dabei können namentlich folgende Kriterien in dieser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Integration bei einem längeren Aufenthalt in der Schweiz und dergleichen. Wie in allen Zumutbarkeitsprüfungen sind zudem bei der Analyse der Situation - die sich für die betroffene Person nach dem Vollzug der Wegweisung im Heimatstaat ergäbe - die damit verbundenen humanitären Aspekte dem öffentlichen Interesse der Schweiz am Wegweisungsvollzug gegenüberzustellen (vgl. EMARK 2006 Nr. 24, 2005 Nr. 6; 1994 Nr. 18). Das Kind F._______ (Beschwerdeführer 5) sowie die beiden jüngsten Kinder der Witwe besuchen bereits die Mittelschule. Insofern liegen seit dem Erlass der in Rechtskraft erwachsenen Verfügung des BFM wesentlich veränderte Sachverhaltselemente vor, die unter Berücksichtigung des Kindeswohls auf die Unzumutbakeit des Wegweisungsvollzugs für diese Personen schliessen lassen.</w:t>
      </w:r>
    </w:p>
    <w:p>
      <w:r>
        <w:rPr>
          <w:b/>
        </w:rPr>
        <w:t>E. 4.6</w:t>
      </w:r>
    </w:p>
    <w:p>
      <w:r>
        <w:t>Bei diesem Ergebnis ist es entbehrlich, auf die weiteren Vorbingen im einzelnen einzugehen.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w:t>
      </w:r>
    </w:p>
    <w:p>
      <w:r>
        <w:t>Zusammenfassend ist festzuhalten, dass es den Beschwerdeführern gelungen ist, eine wiedererwägungsweise veränderte Sachlage darzutun, da eine erzwungene Rückkehr in die Demokratische Republik Kongo sie im jetzigen Zeitpunkt und mittelfristig in eine Situation bringen würde, die zu einer konkreten Gefährdung führte. Demzufolge kommt das Bundesverwaltungsgericht in Würdigung sämtlicher Sachverhaltselemente vorliegend zum Schluss, dass der Wegweisungsvollzug als unzumutbar im Sinne von Art. 83 Abs. 4 AuG zu erachten ist. Gemäss Art. 83 Abs. 7 AuG wird die vorläufige Aufnahme nach Absatz 4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sie erheblich oder wiederholt gegen die öffentliche Sicherheit und Ordnung in der Schweiz oder im Ausland verstossen hat oder diese gefährdet oder die innere oder äussere Sicherheit gefährdet. Soweit ersichtlich, sind die Beschwerdeführer weder in der Schweiz noch im Ausland zu einer längerfristigen Freiheitsstrafe verurteilt worden. Den Akten ist auch nicht zu entnehmen, dass sie gegen die öffentliche Sicherheit und Ordnung in der Schweiz oder im Ausland verstossen oder diese gefährdet haben oder die innere oder die äussere Sicherheit gefährden.</w:t>
      </w:r>
    </w:p>
    <w:p>
      <w:r>
        <w:rPr>
          <w:b/>
        </w:rPr>
        <w:t>E. 7</w:t>
      </w:r>
    </w:p>
    <w:p>
      <w:r>
        <w:t>Die Beschwerde ist demnach gutzuheissen, soweit im Eventualbegehren beantragt wird, die angefochtene Verfügung sei aufzuheben, und es sei die Unzumutbarkeit des Wegweisungsvollzugs festzustellen. Im Übrigen ist sie abzuweisen. Die angefochtene Verfügung vom 21. November 2002 und die Ziffern 4 und 5 der vorinstanzlichen Verfügung vom 30. Januar 2002 sind demnach aufzuheben und das BFM ist anzuweisen, gestützt auf Art. 44 Abs. 2 AsylG i.V.m. Art. 83 Abs. 1 und 4 AuG die vorläufige Aufnahme der Beschwerdeführer zu verfügen.</w:t>
      </w:r>
    </w:p>
    <w:p>
      <w:r>
        <w:rPr>
          <w:b/>
        </w:rPr>
        <w:t>E. 7.1</w:t>
      </w:r>
    </w:p>
    <w:p>
      <w:r>
        <w:t>Bei diesem Ausgang des Verfahrens - welches rechnerisch als hälftiges Obsiegen zu beurteilen ist - sind die reduzierten Kosten von Fr. 600.-- den Beschwerdeführern aufzuerlegen (Art. 63 Abs. 1 VwVG).</w:t>
      </w:r>
    </w:p>
    <w:p>
      <w:r>
        <w:rPr>
          <w:b/>
        </w:rPr>
        <w:t>E. 7.2</w:t>
      </w:r>
    </w:p>
    <w:p>
      <w:r>
        <w:t>Angesichts des teilweisen Obsiegens ist den Beschwerdeführern eine reduzierte Parteientschädigung zuzusprechen (Art. 64 Abs. 1 VwVG und Art. 7 Abs. 2 des Reglements vom 11. Dezember 2006 über die Kosten und Entschädigungen vor dem Bundesverwaltungsgericht [VGKE, SR 173.320.2]). Die Rechtsvertreterin der Beschwerdeführer reichte keine Kostennote ein. Indessen lässt sich der Parteiaufwand von Amtes wegen abschätzen. Aufgrund des geringen Aktenumfangs und der eher kurz gehaltenen Beschwerdeschrift wird bei einem Stundenansatz von Fr. 100.-- für nicht in einer Anwaltskanzlei tätige Rechtsvertreter und dem geschätzten zeitlichen Aufwand von fünf Stunden (vgl. Art. 9, 10 und 14 Abs. 2 VGKE) eine Parteientschädigung von Fr. 600.-- (inkl. Auslagen und MWSt) als angemessen erachtet. Das BFM hat den Beschwerdeführern demnach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