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D-7010/2011 vom 27. Januar 2012</w:t>
      </w:r>
    </w:p>
    <w:p>
      <w:r>
        <w:t>Bundesverwaltungsgericht, 2012-01-27, DE</w:t>
      </w:r>
    </w:p>
    <w:p>
      <w:r>
        <w:rPr>
          <w:b/>
        </w:rPr>
        <w:t xml:space="preserve">Quelle: </w:t>
      </w:r>
      <w:r>
        <w:t>https://mcp.opencaselaw.ch/entscheid/bvger_D-7010_2011</w:t>
      </w:r>
    </w:p>
    <w:p>
      <w:r>
        <w:t>FR: TAF D-7010/2011 du 27 janvier 2012</w:t>
      </w:r>
    </w:p>
    <w:p>
      <w:r>
        <w:t>IT: TAF D-7010/2011 del 27 gennaio 2012</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Beschwerdeführer macht in seiner Eingabe vom _______ 2011 beim BFM geltend, der angefochtene Ent­scheid vom 29. November 2011 sei ursprünglich falsch. Soweit er damit die (analoge) Anwendung von Re­visionsgründen im Rahmen eines Wiedererwägungsverfahrens bei der Vorinstanz zu erwirken sucht, kann ihm nicht gefolgt werden. Solche Gründe können vorliegend insofern nicht zur Anwendung gelan­gen, als der dafür massgebliche Sachverhalt offensichtlich bereits innert laufender Beschwerdefrist und damit im ordentlichen Beschwerdeverfah­ren geltend gemacht werden konnte und wurde (vgl. Art. 66 Abs. 3 VwVG). Entspre­chend ist auch die Eingabe vom _______ 2011 grundsätzlich als Teil der Beschwerde gegen den besagten Entscheid entgegenzunehmen.</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 unter Vorbehalt der nachfolgenden Erwägungen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Nach Art. 51 Abs. 1 AsylG werden - unter dem Titel Familienasyl - na­mentlich die Ehegatten und die minderjährigen Kinder von Flüchtlingen ih­rerseits als Flüchtlinge anerkannt und erhalten Asyl in der Schweiz,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 hier des Beschwerdeführers - abstützen. Zent­rale Bedingung für den Einbezug in die Flüchtlingseigenschaft ist dabei, dass bereits vor der Flucht eine Familiengemeinschaft bestanden hat (vgl. dazu die Botschaft zur Totalrevision des Asylgesetzes sowie zur Ände­rung des Bundesgesetzes über Aufenthalt und Niederlassung der Aus­länder vom 4. Dezember 1995, BBl 1996 II 68):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Eine conditio sine qua non der Konzeption des Familienasyls ist daher die Tatsache, dass zum Zeit­punkt der Flucht eine Familiengemeinschaft bestanden haben muss."</w:t>
      </w:r>
    </w:p>
    <w:p>
      <w:r>
        <w:rPr>
          <w:b/>
        </w:rPr>
        <w:t>E. 3.2</w:t>
      </w:r>
    </w:p>
    <w:p>
      <w:r>
        <w:t>Ebenfalls unter dem Titel Familienasyl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des Familiennachzuges - die Einreise in die Schweiz zu bewilligen, jedoch ebenfalls nur dann, wenn eine Trennung durch die Fluchtumstände stattgefunden hat. Auch in diesem Fall ist dem­nach eine conditio sine qua non die Tatsache, dass zum Zeitpunkt der Flucht eine Familiengemeinschaft bestanden haben muss. Zweck der Be­stimmung von Art. 51 Abs. 4 AsylG ist somit alleine die Wiedervereinigung von vorbestandenen Familiengemeinschaften.</w:t>
      </w:r>
    </w:p>
    <w:p>
      <w:r>
        <w:rPr>
          <w:b/>
        </w:rPr>
        <w:t>E. 4.1</w:t>
      </w:r>
    </w:p>
    <w:p>
      <w:r>
        <w:t>In seinem Entscheid hat das BFM die Anforderungen von Art. 51 Abs. 4 AsylG im Falle der vormals in Eritrea verbliebenen und sich jetzt im Su­dan aufhaltenden minderjährigen Tochter des Beschwerdeführers als nicht erfüllt erkannt und die Erteilung einer Einreisebewilligung verwei­gert. Zur Begründung dieses Entscheides hat das BFM im Wesentlichen an­geführt, der Beschwerdeführer habe nie längere Zeit mit ihr zusammen­gelebt und sei entsprechend nicht durch seine Flucht von ihr ge­trennt worden. In den Rekurseingaben wird geltend gemacht, er habe nicht freiwil­lig getrennt von seiner Tochter ge­lebt, sondern unter Zwang langjährigen Militärdienst geleistet. Seine Vaterpflichten habe er gleich­wohl sowohl ihr wie auch den drei ande­ren Kindern gegenüber wahrgenom­men. Besagte Tochter habe bis zum Tod der Kindsmutter bei dieser gelebt. Danach habe sie sich abwechselnd bei den Grosseltern väter­licherseits und der Stiefmutter sowie Halbgeschwistern aufgehalten. Er habe eine sehr enge Beziehung zu ihr. Sie sei auch in der neuen Fami­lie als Mitglied in Erscheinung getreten und habe zu ihrer Stiefmutter und den drei Halbgeschwistern eine enge Beziehung.</w:t>
      </w:r>
    </w:p>
    <w:p>
      <w:r>
        <w:rPr>
          <w:b/>
        </w:rPr>
        <w:t>E. 4.2</w:t>
      </w:r>
    </w:p>
    <w:p>
      <w:r>
        <w:t>Die Argumente des Beschwerdeführers vermögen nicht zu überzeu­gen. Gemäss seinen Ausführungen hat er sich _______ 1996 verhei­ratet. Von der Heirat bis zur Ausreise habe er grundsätzlich bei den Schwiegereltern der Gattin in _______ Wohnsitz gehabt. Er habe sich dort nur in der militärischen Urlaubszeit aufhalten können. Die Tochter aus ei­ner anderen Beziehung habe bei seinen Eltern in _______ gelebt (B 1/12 S. 1 ff.). Vor diesem Hintergrund erscheint die vorinstanzliche Erwä­gung, wonach der Beschwerdeführer und die uneheliche Tochter nicht im gleichen Haushalt lebten, als berechtigt. Einzuräumen ist, dass der Be­schwerdeführer wegen des Militärdienstes und der Inhaftierung unter ent­sprechend erschwerten Bedingungen das Familienleben gepflegt haben dürfte; am Umstand, wonach sich die erwähnte Tochter offenbar nicht bei seiner Familie aufgehalten hat, ändern diese Sachverhaltselemente indes nichts. Zwar wird in der Beschwerde geltend gemacht, die Tochter habe sich nebst bei seinen Eltern auch bei seiner eigenen Familie bei der Stief­mutter und den Halbgeschwistern aufgehalten. Diese Vorbringen werden durch die vorhandenen Akten indes nicht hinreichend gestützt. Vielmehr fällt auf, dass die Stiefmutter in ihrem Asylverfahren die Stieftochter nicht erwähnte. Schliesslich wusste der Beschwerdeführer anlässlich seiner Anhörung vom _______ 2010 insbesondere auch den aktuellen Aufenthaltsort sei­ner ausserehelichen Tochter, welche sich mittlerweile im Sudan befinden soll, nicht (B 11/12 S. 3). Auch diese Tatsache spricht gegen die geltend ge­machte enge Beziehung respektive die Familiengemeinschaft vor der Flucht.</w:t>
      </w:r>
    </w:p>
    <w:p>
      <w:r>
        <w:rPr>
          <w:b/>
        </w:rPr>
        <w:t>E. 4.3</w:t>
      </w:r>
    </w:p>
    <w:p>
      <w:r>
        <w:t>Zusammenfassend besteht kein Anlass zur Annahme, der Beschwer­deführer sei seiner ausserehelichen Tochter in einer gelebten Familienge­meinschaft verbunden geblieben und diese Verbindung sei alleine durch die Flucht abgerissen. Die Annahme einer Familiengemeinschaft im Sinne der vorstehenden Erwägungen, welche eine einheitliche Regelung re­spektive die Bewilligung der Einreise unter dem Titel "Familienasyl" rechtfertigen würde, da die Toch­ter unter der Verfolgung ihres Vaters mitgelitten habe, fällt damit gestützt auf die vorinstanzlichen Akten und die Beschwerdeeingaben, soweit letz­tere sich zur Familienzusammenführung äussern, ausser Betracht. Eine Be­handlung der Sache etwa analog der Behandlung von ehemaligen Häftlin­gen, welche ebenfalls ihren Aufenthaltsort nicht frei wählen konnten und deswegen unter Umständen über Jahre von den Mitgliedern ihrer Kern­familie getrennt waren, ist damit aufgrund der anders gearteten familiä­ren Verhältnisse des Beschwerdeführers abzulehnen. In seinem Fall ist demnach in Bezug auf seine aussereheliche Tochter die conditio sine qua non des Familienasyls - das Bestehen einer Familiengemein­schaft zum Zeitpunkt der Flucht - als nicht erfüllt zu erkennen. Bei dieser Sachlage kann mangels Relevanz davon abgesehen werden, auf diesbezüg­liche weitere Beschwerdevorbringen näher einzugehen.</w:t>
      </w:r>
    </w:p>
    <w:p>
      <w:r>
        <w:rPr>
          <w:b/>
        </w:rPr>
        <w:t>E. 4.4</w:t>
      </w:r>
    </w:p>
    <w:p>
      <w:r>
        <w:t>Der Wunsch des Beschwerdeführers nach einem Nachzug seiner mitt­lerweile im Sudan befindlichen minderjährigen Tochter (zusammen mit den ehelichen Kindern) ist augenfällig. In dieser Hinsicht ist jedoch festzu­halten, dass die geltende Asylgesetzgebung keine weitere respektive an­dere Handhabe bietet, um der im Ausland befindlichen Tochter die Ein­reise in die Schweiz zwecks Einbezug in die Flüchtlingseigenschaft und die Gewährung des Familienasyls zu bewilligen. Weder die Bestimmun­gen von Art. 8 der Konvention vom 4. November 1950 zum Schutze der Menschenrechte und Grundfreiheiten (EMRK, SR 0.101) noch jene des In­ternationalen Paktes vom 16. Dezember 1966 über bürgerlichen und politi­sche Rechte (UNO-Pakt II, SR. 0.103.2) können im Asylverfahren er­gänzend angewandt werden. Vielmehr stünde dem Beschwerdeführer für eine Aufenthaltsregelung seiner Tochter in der Schweiz - gestützt auf die genannten Bestimmungen - der Weg über die in dieser Hinsicht zuständi­ge ausländerrechtliche Behörde offen. Insofern ist er anzuhalten, sich an die für ihn zuständige kantonale Behörde zu wenden, falls er sich weiter­hin um die Bewilligung einer Einreise seiner unehelichen Tochter im Sinne des Familiennachzuges bemü­hen will (vgl. dazu Entscheidungen und Mitteilungen der Schweizerischen Asylrekurskommission [EMARK] 2002 Nr. 6 S. 43 und untenstehend Ziff. 6).</w:t>
      </w:r>
    </w:p>
    <w:p>
      <w:r>
        <w:rPr>
          <w:b/>
        </w:rPr>
        <w:t>E. 4.5</w:t>
      </w:r>
    </w:p>
    <w:p>
      <w:r>
        <w:t>Schliesslich hat die Vorinstanz auch zu Recht darauf verzichtet, das Gesuch des Beschwerdeführers um Familiennachzug seiner Tochter unter dem Aspekt des Asylgesuches aus dem Ausland im Sinne von Art. 20 AsylG zu beurteilen. Schriftliche Eingaben von Privaten an die Behörden sind so auszulegen, wie sie nach Treu und Glauben verstanden werden durften und mussten (vgl. BVGE 2007/19). Den Eingaben im vorinstanzlichen Verfahren waren - wie das BFM zu Recht festhält - jedoch keinerlei An­haltspunkte zu entnehmen, welche auf eine Gefährdung im Sinne von Art. 3 AsylG hinwiesen und die damit die Durchführung eines Asylverfahrens aus dem Aus­land gerechtfertigt hätten. Demzufolge war das Gesuch allein unter dem Gesichtspunkt des Familienasyls im Sinne von Art. 51 Abs. 4 AsylG zu prüfen. Daran vermag auch nichts zu ändern, dass entsprechende Vorbringen nun auf Beschwerdeebene eingebracht werden, dem ist vielmehr in einem durch das BFM neu anzuhebenden Verfahren Rechnung zu tragen (vgl. Ziff. 6 untenstehend). Gegenstand der vorinstanzlichen Verfügung war die Prüfung des Asylgesuchs im Rahmen einer Familienzusammenführung gemäss Art. 51 Abs. 1 und 4 AsylG sowie des Gesuchs um Erteilung einer Einreisebewilligung. Die Eventualanträge - soweit sie im Zusammenhang mit Art. 20 AsylG stehen - stellen eine unzulässige Erweiterung des Verfahrensgegenstands dar, weshalb auf sie nicht einzutreten ist.</w:t>
      </w:r>
    </w:p>
    <w:p>
      <w:r>
        <w:rPr>
          <w:b/>
        </w:rPr>
        <w:t>E. 5</w:t>
      </w:r>
    </w:p>
    <w:p>
      <w:r>
        <w:t>Nach vorstehenden Erwägungen ergibt sich, dass das BFM zu Recht das Gesuch um Familienzusammenführung im Sinne von Art. 51 Abs. 4 AslyG abgelehnt und der im Ausland be­findlichen Tochter des Beschwerdeführers die Einreise in die Schweiz ver­weigert hat. Die angefochtene Verfügung ist daher zu bestätigen und die Be­schwerde abzuweisen.</w:t>
      </w:r>
    </w:p>
    <w:p>
      <w:r>
        <w:rPr>
          <w:b/>
        </w:rPr>
        <w:t>E. 6</w:t>
      </w:r>
    </w:p>
    <w:p>
      <w:r>
        <w:t>Hingegen liegt aufgrund der Beschwerdeeingaben nunmehr ein Asylgesuch aus dem Ausland im Sinne von Art. 20 AsylG vor. Die Akten sind entsprechend dem BFM zur beförderlichen Be­handlung dieses Gesuches zu übermitteln (Art. 8 VwVG). Diese Einschätzung erscheint namentlich auch in Berücksichtigung der explizi­ten Hinweise des BFM zur Möglichkeit der Asylgesuchstellung im angefoch­tenen Entscheid und im Antwortschreiben vom _______ 2011 als angezeigt.</w:t>
      </w:r>
    </w:p>
    <w:p>
      <w:r>
        <w:rPr>
          <w:b/>
        </w:rPr>
        <w:t>E. 7</w:t>
      </w:r>
    </w:p>
    <w:p>
      <w:r>
        <w:t>Bei diesem Ausgang des Verfahrens wären die Kosten dem Beschwerdeführer aufzuerlegen (Art. 63 Abs. 1 VwVG). Sie sind indes in Gutheissung des Gesuchs um unentgeltliche Verfahrensführung zu erlassen, zumal der Beschwerdeführer den Akten zufolge als bedürftig zu qualifizieren ist (Art. 65 Abs. 1 VwVG). Das Gesuch im Sinne von Art. 65 Abs. 2 VwVG ist abzuweisen, zumal die sachli­che Notwendigkeit der Verbeiständung angesichts der Untersu­chungsmaxime nicht gegeben war.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